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5CEAE" w14:textId="523BFDCF" w:rsidR="0012388D" w:rsidRDefault="004551D2" w:rsidP="004551D2">
      <w:pPr>
        <w:tabs>
          <w:tab w:val="left" w:pos="5950"/>
        </w:tabs>
        <w:rPr>
          <w:rFonts w:cs="Arial"/>
        </w:rPr>
      </w:pPr>
      <w:bookmarkStart w:id="0" w:name="_GoBack"/>
      <w:bookmarkEnd w:id="0"/>
      <w:r>
        <w:rPr>
          <w:noProof/>
          <w:lang w:eastAsia="en-GB" w:bidi="ar-SA"/>
        </w:rPr>
        <w:drawing>
          <wp:anchor distT="0" distB="0" distL="114300" distR="114300" simplePos="0" relativeHeight="251660297" behindDoc="0" locked="0" layoutInCell="1" allowOverlap="1" wp14:anchorId="6284DED1" wp14:editId="1E64D1FE">
            <wp:simplePos x="0" y="0"/>
            <wp:positionH relativeFrom="column">
              <wp:align>left</wp:align>
            </wp:positionH>
            <wp:positionV relativeFrom="paragraph">
              <wp:align>top</wp:align>
            </wp:positionV>
            <wp:extent cx="3495040" cy="611505"/>
            <wp:effectExtent l="0" t="0" r="0" b="0"/>
            <wp:wrapSquare wrapText="bothSides"/>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5040" cy="611505"/>
                    </a:xfrm>
                    <a:prstGeom prst="rect">
                      <a:avLst/>
                    </a:prstGeom>
                    <a:noFill/>
                    <a:ln w="9525">
                      <a:noFill/>
                      <a:miter lim="800000"/>
                      <a:headEnd/>
                      <a:tailEnd/>
                    </a:ln>
                  </pic:spPr>
                </pic:pic>
              </a:graphicData>
            </a:graphic>
          </wp:anchor>
        </w:drawing>
      </w:r>
      <w:r>
        <w:br w:type="textWrapping" w:clear="all"/>
      </w:r>
      <w:r>
        <w:rPr>
          <w:rFonts w:cs="Arial"/>
        </w:rPr>
        <w:tab/>
      </w:r>
    </w:p>
    <w:p w14:paraId="7EC5CEB2" w14:textId="6199E826" w:rsidR="00A671E6" w:rsidRPr="004551D2" w:rsidRDefault="004551D2" w:rsidP="00A671E6">
      <w:pPr>
        <w:rPr>
          <w:sz w:val="28"/>
          <w:szCs w:val="28"/>
        </w:rPr>
      </w:pPr>
      <w:r w:rsidRPr="004551D2">
        <w:rPr>
          <w:sz w:val="28"/>
          <w:szCs w:val="28"/>
        </w:rPr>
        <w:t>June 2015</w:t>
      </w:r>
    </w:p>
    <w:p w14:paraId="69C910E4" w14:textId="77777777" w:rsidR="004551D2" w:rsidRPr="004551D2" w:rsidRDefault="004551D2" w:rsidP="00A671E6"/>
    <w:p w14:paraId="7EC5CEB3" w14:textId="10D5F35E" w:rsidR="0012388D" w:rsidRPr="000B427A" w:rsidRDefault="00C2192D" w:rsidP="00B425AA">
      <w:pPr>
        <w:pStyle w:val="FSTitle"/>
      </w:pPr>
      <w:r>
        <w:t xml:space="preserve">Evaluation </w:t>
      </w:r>
      <w:r w:rsidR="00CC4309">
        <w:t>of</w:t>
      </w:r>
      <w:r>
        <w:t xml:space="preserve"> </w:t>
      </w:r>
      <w:r w:rsidR="004E4F85">
        <w:t xml:space="preserve">Labelling Review </w:t>
      </w:r>
      <w:r w:rsidR="004E4F85" w:rsidRPr="007523AC">
        <w:t xml:space="preserve">Recommendation </w:t>
      </w:r>
      <w:r w:rsidR="007523AC" w:rsidRPr="007523AC">
        <w:t>17</w:t>
      </w:r>
      <w:r>
        <w:t xml:space="preserve">: </w:t>
      </w:r>
      <w:r w:rsidR="008E0B03">
        <w:t>Per serving declarations in the nutrition information panel</w:t>
      </w:r>
    </w:p>
    <w:p w14:paraId="7EC5CEB4" w14:textId="77777777" w:rsidR="003A7B84" w:rsidRPr="00E327A6" w:rsidRDefault="003A7B84" w:rsidP="00871116">
      <w:pPr>
        <w:pBdr>
          <w:bottom w:val="single" w:sz="12" w:space="1" w:color="auto"/>
        </w:pBdr>
        <w:tabs>
          <w:tab w:val="left" w:pos="1140"/>
        </w:tabs>
        <w:rPr>
          <w:rFonts w:cs="Arial"/>
          <w:bCs/>
        </w:rPr>
      </w:pPr>
    </w:p>
    <w:p w14:paraId="0123B161" w14:textId="77777777" w:rsidR="00C87D9B" w:rsidRPr="00C87D9B" w:rsidRDefault="00C87D9B" w:rsidP="00C87D9B">
      <w:pPr>
        <w:pStyle w:val="Heading1"/>
      </w:pPr>
      <w:bookmarkStart w:id="1" w:name="_Toc411868858"/>
      <w:bookmarkStart w:id="2" w:name="_Toc437416143"/>
      <w:r w:rsidRPr="00C87D9B">
        <w:rPr>
          <w:bCs w:val="0"/>
        </w:rPr>
        <w:t>Executive summary</w:t>
      </w:r>
      <w:bookmarkEnd w:id="1"/>
      <w:bookmarkEnd w:id="2"/>
    </w:p>
    <w:p w14:paraId="7EC5CEB5" w14:textId="4379E289" w:rsidR="003A7B84" w:rsidRDefault="00C87D9B" w:rsidP="00C87D9B">
      <w:pPr>
        <w:rPr>
          <w:rFonts w:cs="Arial"/>
          <w:bCs/>
        </w:rPr>
      </w:pPr>
      <w:r>
        <w:rPr>
          <w:rFonts w:cs="Arial"/>
          <w:bCs/>
        </w:rPr>
        <w:t xml:space="preserve">In 2009, the then Australia and New Zealand Ministerial Council for Food Regulation (now the Australia and New Zealand Ministerial Forum on Food Regulation (Forum)) agreed to proceed with a comprehensive independent review of food labelling law and policy. An expert panel, chaired by Dr Neal Blewett, AC, undertook the review and the panel’s final report, </w:t>
      </w:r>
      <w:r>
        <w:rPr>
          <w:i/>
          <w:lang w:val="en-AU"/>
        </w:rPr>
        <w:t xml:space="preserve">Labelling Logic: Review of Food Labelling Law and Policy (2011) </w:t>
      </w:r>
      <w:r>
        <w:rPr>
          <w:lang w:val="en-AU"/>
        </w:rPr>
        <w:t>(Labelling Logic)</w:t>
      </w:r>
      <w:r>
        <w:rPr>
          <w:i/>
          <w:lang w:val="en-AU"/>
        </w:rPr>
        <w:t xml:space="preserve"> </w:t>
      </w:r>
      <w:r>
        <w:rPr>
          <w:rFonts w:cs="Arial"/>
          <w:bCs/>
        </w:rPr>
        <w:t>was publicly released in January 2011.</w:t>
      </w:r>
    </w:p>
    <w:p w14:paraId="7354C4D9" w14:textId="77777777" w:rsidR="00C87D9B" w:rsidRDefault="00C87D9B" w:rsidP="00C87D9B">
      <w:pPr>
        <w:rPr>
          <w:rFonts w:cs="Arial"/>
          <w:bCs/>
        </w:rPr>
      </w:pPr>
    </w:p>
    <w:p w14:paraId="51906EE2" w14:textId="77777777" w:rsidR="00C87D9B" w:rsidRDefault="00C87D9B" w:rsidP="00C87D9B">
      <w:pPr>
        <w:rPr>
          <w:i/>
        </w:rPr>
      </w:pPr>
      <w:r>
        <w:rPr>
          <w:rFonts w:cs="Arial"/>
          <w:bCs/>
          <w:szCs w:val="22"/>
        </w:rPr>
        <w:t xml:space="preserve">Recommendation 17 from </w:t>
      </w:r>
      <w:r w:rsidRPr="007523AC">
        <w:t>Labelling Logic</w:t>
      </w:r>
      <w:r>
        <w:t xml:space="preserve"> states: </w:t>
      </w:r>
      <w:r>
        <w:rPr>
          <w:i/>
        </w:rPr>
        <w:t>That the declaration in the nutrition information p</w:t>
      </w:r>
      <w:r w:rsidRPr="00834441">
        <w:rPr>
          <w:i/>
        </w:rPr>
        <w:t>anel of amount of nutrients per serve be no longer mandatory unless a daily intake claim is made.</w:t>
      </w:r>
    </w:p>
    <w:p w14:paraId="31B20A3A" w14:textId="77777777" w:rsidR="00C87D9B" w:rsidRDefault="00C87D9B" w:rsidP="00C87D9B"/>
    <w:p w14:paraId="7A7685F7" w14:textId="488D14BD" w:rsidR="00B46DC2" w:rsidRDefault="00B46DC2" w:rsidP="00B46DC2">
      <w:pPr>
        <w:rPr>
          <w:rFonts w:cs="Arial"/>
          <w:bCs/>
        </w:rPr>
      </w:pPr>
      <w:r>
        <w:rPr>
          <w:rFonts w:cs="Arial"/>
          <w:bCs/>
        </w:rPr>
        <w:t xml:space="preserve">In the government response to Recommendation 17, the Forum </w:t>
      </w:r>
      <w:r w:rsidRPr="00834441">
        <w:rPr>
          <w:rFonts w:cs="Arial"/>
          <w:bCs/>
        </w:rPr>
        <w:t xml:space="preserve">asked </w:t>
      </w:r>
      <w:r w:rsidR="002A1D32">
        <w:rPr>
          <w:rFonts w:cs="Arial"/>
          <w:bCs/>
        </w:rPr>
        <w:t>Food Standards Australia New Zealand (FS</w:t>
      </w:r>
      <w:r w:rsidRPr="00834441">
        <w:rPr>
          <w:rFonts w:cs="Arial"/>
          <w:bCs/>
        </w:rPr>
        <w:t>ANZ</w:t>
      </w:r>
      <w:r w:rsidR="002A1D32">
        <w:rPr>
          <w:rFonts w:cs="Arial"/>
          <w:bCs/>
        </w:rPr>
        <w:t xml:space="preserve">) </w:t>
      </w:r>
      <w:r w:rsidRPr="00834441">
        <w:rPr>
          <w:rFonts w:cs="Arial"/>
          <w:bCs/>
        </w:rPr>
        <w:t xml:space="preserve">to </w:t>
      </w:r>
      <w:r>
        <w:rPr>
          <w:rFonts w:cs="Arial"/>
          <w:bCs/>
        </w:rPr>
        <w:t>prepare</w:t>
      </w:r>
      <w:r w:rsidRPr="00834441">
        <w:rPr>
          <w:rFonts w:cs="Arial"/>
          <w:bCs/>
        </w:rPr>
        <w:t xml:space="preserve"> a proposal to provide assessment and advice on this proposed change to the labelling requirements for the </w:t>
      </w:r>
      <w:r w:rsidR="004B6526">
        <w:rPr>
          <w:rFonts w:cs="Arial"/>
          <w:bCs/>
        </w:rPr>
        <w:t>nutrition information panel (</w:t>
      </w:r>
      <w:r>
        <w:rPr>
          <w:rFonts w:cs="Arial"/>
          <w:bCs/>
        </w:rPr>
        <w:t>NIP</w:t>
      </w:r>
      <w:r w:rsidR="004B6526">
        <w:rPr>
          <w:rFonts w:cs="Arial"/>
          <w:bCs/>
        </w:rPr>
        <w:t>)</w:t>
      </w:r>
      <w:r w:rsidRPr="00834441">
        <w:rPr>
          <w:rFonts w:cs="Arial"/>
          <w:bCs/>
        </w:rPr>
        <w:t>. The Forum noted that all proposed changes to the</w:t>
      </w:r>
      <w:r>
        <w:rPr>
          <w:rFonts w:cs="Arial"/>
          <w:bCs/>
        </w:rPr>
        <w:t xml:space="preserve"> </w:t>
      </w:r>
      <w:r w:rsidRPr="001F0C9A">
        <w:rPr>
          <w:rFonts w:cs="Arial"/>
          <w:bCs/>
          <w:i/>
        </w:rPr>
        <w:t xml:space="preserve">Australia New Zealand Food Standards Code </w:t>
      </w:r>
      <w:r w:rsidRPr="001F0C9A">
        <w:rPr>
          <w:rFonts w:cs="Arial"/>
          <w:bCs/>
        </w:rPr>
        <w:t>(Code</w:t>
      </w:r>
      <w:r>
        <w:rPr>
          <w:rFonts w:cs="Arial"/>
          <w:bCs/>
        </w:rPr>
        <w:t>)</w:t>
      </w:r>
      <w:r w:rsidRPr="001F0C9A">
        <w:rPr>
          <w:rFonts w:cs="Arial"/>
          <w:bCs/>
        </w:rPr>
        <w:t xml:space="preserve"> </w:t>
      </w:r>
      <w:r w:rsidRPr="00834441">
        <w:rPr>
          <w:rFonts w:cs="Arial"/>
          <w:bCs/>
        </w:rPr>
        <w:t>are required to adhere to an agreed process and be assessed by FSANZ.</w:t>
      </w:r>
      <w:r>
        <w:rPr>
          <w:rFonts w:cs="Arial"/>
          <w:bCs/>
        </w:rPr>
        <w:t xml:space="preserve"> </w:t>
      </w:r>
    </w:p>
    <w:p w14:paraId="2FFE46FF" w14:textId="77777777" w:rsidR="00B46DC2" w:rsidRDefault="00B46DC2" w:rsidP="00B46DC2">
      <w:pPr>
        <w:rPr>
          <w:rFonts w:cs="Arial"/>
          <w:bCs/>
        </w:rPr>
      </w:pPr>
    </w:p>
    <w:p w14:paraId="3FCB862F" w14:textId="1E5C28FE" w:rsidR="00B80110" w:rsidRDefault="00B80110" w:rsidP="00B80110">
      <w:pPr>
        <w:rPr>
          <w:rFonts w:cs="Arial"/>
          <w:snapToGrid w:val="0"/>
          <w:szCs w:val="22"/>
        </w:rPr>
      </w:pPr>
      <w:r>
        <w:rPr>
          <w:rFonts w:cs="Arial"/>
          <w:bCs/>
        </w:rPr>
        <w:t xml:space="preserve">FSANZ </w:t>
      </w:r>
      <w:r>
        <w:rPr>
          <w:rFonts w:cs="Arial"/>
          <w:snapToGrid w:val="0"/>
          <w:szCs w:val="22"/>
        </w:rPr>
        <w:t>understands that the intent of Recommendation 17 was the proposed removal of the mandatory requirement for per serving information in the NIP</w:t>
      </w:r>
      <w:r w:rsidR="001146C6">
        <w:rPr>
          <w:rFonts w:cs="Arial"/>
          <w:snapToGrid w:val="0"/>
          <w:szCs w:val="22"/>
        </w:rPr>
        <w:t>,</w:t>
      </w:r>
      <w:r>
        <w:rPr>
          <w:rFonts w:cs="Arial"/>
          <w:snapToGrid w:val="0"/>
          <w:szCs w:val="22"/>
        </w:rPr>
        <w:t xml:space="preserve"> but not to prevent the option of voluntarily declaring that information.</w:t>
      </w:r>
    </w:p>
    <w:p w14:paraId="7433EE69" w14:textId="77777777" w:rsidR="00B80110" w:rsidRDefault="00B80110" w:rsidP="000C299D">
      <w:pPr>
        <w:rPr>
          <w:rStyle w:val="ms-rtefontsize-21"/>
          <w:rFonts w:cs="Arial"/>
          <w:sz w:val="22"/>
          <w:szCs w:val="22"/>
        </w:rPr>
      </w:pPr>
    </w:p>
    <w:p w14:paraId="650B01B8" w14:textId="18BC0987" w:rsidR="000C299D" w:rsidRPr="00C85D0D" w:rsidRDefault="000C299D" w:rsidP="000C299D">
      <w:pPr>
        <w:rPr>
          <w:lang w:bidi="ar-SA"/>
        </w:rPr>
      </w:pPr>
      <w:r>
        <w:rPr>
          <w:rStyle w:val="ms-rtefontsize-21"/>
          <w:rFonts w:cs="Arial"/>
          <w:sz w:val="22"/>
          <w:szCs w:val="22"/>
        </w:rPr>
        <w:t xml:space="preserve">As a first step, </w:t>
      </w:r>
      <w:r>
        <w:rPr>
          <w:szCs w:val="22"/>
        </w:rPr>
        <w:t>FSANZ considered it appropriate to undertake a preliminary analysis of relevant issues associated with Recommendation 17</w:t>
      </w:r>
      <w:r w:rsidR="00CC4309">
        <w:rPr>
          <w:szCs w:val="22"/>
        </w:rPr>
        <w:t xml:space="preserve">. </w:t>
      </w:r>
      <w:r>
        <w:rPr>
          <w:szCs w:val="22"/>
        </w:rPr>
        <w:t>FSANZ has therefore:</w:t>
      </w:r>
    </w:p>
    <w:p w14:paraId="62EABAF5" w14:textId="1A87EBF5" w:rsidR="00C85D0D" w:rsidRPr="000C299D" w:rsidRDefault="00C85D0D" w:rsidP="00C87D9B">
      <w:pPr>
        <w:rPr>
          <w:rFonts w:cs="Arial"/>
          <w:szCs w:val="22"/>
        </w:rPr>
      </w:pPr>
    </w:p>
    <w:p w14:paraId="6FE47DBD" w14:textId="4C702377" w:rsidR="00C85D0D" w:rsidRPr="00D82648" w:rsidRDefault="000C299D" w:rsidP="00C85D0D">
      <w:pPr>
        <w:pStyle w:val="FSBullet1"/>
        <w:numPr>
          <w:ilvl w:val="0"/>
          <w:numId w:val="6"/>
        </w:numPr>
        <w:ind w:left="567" w:hanging="567"/>
        <w:rPr>
          <w:rStyle w:val="ms-rtefontsize-21"/>
          <w:rFonts w:cs="Times New Roman"/>
          <w:sz w:val="22"/>
          <w:szCs w:val="22"/>
        </w:rPr>
      </w:pPr>
      <w:r>
        <w:rPr>
          <w:rStyle w:val="ms-rtefontsize-21"/>
          <w:sz w:val="22"/>
          <w:szCs w:val="22"/>
        </w:rPr>
        <w:t xml:space="preserve">undertaken </w:t>
      </w:r>
      <w:r w:rsidR="00C85D0D">
        <w:rPr>
          <w:rStyle w:val="ms-rtefontsize-21"/>
          <w:sz w:val="22"/>
          <w:szCs w:val="22"/>
        </w:rPr>
        <w:t>public consultation on the use of per serving information and views on the proposed</w:t>
      </w:r>
      <w:r w:rsidR="00C85D0D" w:rsidRPr="0031283F">
        <w:rPr>
          <w:szCs w:val="22"/>
        </w:rPr>
        <w:t xml:space="preserve"> </w:t>
      </w:r>
      <w:r w:rsidR="00C85D0D">
        <w:rPr>
          <w:szCs w:val="22"/>
        </w:rPr>
        <w:t xml:space="preserve">removal of the mandatory requirement for per serving nutrient and energy declarations </w:t>
      </w:r>
      <w:r w:rsidR="00901734">
        <w:rPr>
          <w:szCs w:val="22"/>
        </w:rPr>
        <w:t>in</w:t>
      </w:r>
      <w:r w:rsidR="00C85D0D">
        <w:rPr>
          <w:szCs w:val="22"/>
        </w:rPr>
        <w:t xml:space="preserve"> the NIP</w:t>
      </w:r>
    </w:p>
    <w:p w14:paraId="01735922" w14:textId="12BA1AA4" w:rsidR="00CF3D12" w:rsidRDefault="000C299D" w:rsidP="00C85D0D">
      <w:pPr>
        <w:pStyle w:val="FSBullet1"/>
        <w:numPr>
          <w:ilvl w:val="0"/>
          <w:numId w:val="6"/>
        </w:numPr>
        <w:ind w:left="567" w:hanging="567"/>
        <w:rPr>
          <w:rStyle w:val="ms-rtefontsize-21"/>
          <w:sz w:val="22"/>
          <w:szCs w:val="22"/>
        </w:rPr>
      </w:pPr>
      <w:r w:rsidRPr="00CF3D12">
        <w:rPr>
          <w:rStyle w:val="ms-rtefontsize-21"/>
          <w:sz w:val="22"/>
          <w:szCs w:val="22"/>
        </w:rPr>
        <w:t>compared</w:t>
      </w:r>
      <w:r w:rsidR="00C85D0D" w:rsidRPr="00CF3D12">
        <w:rPr>
          <w:rStyle w:val="ms-rtefontsize-21"/>
          <w:sz w:val="22"/>
          <w:szCs w:val="22"/>
        </w:rPr>
        <w:t xml:space="preserve"> current provisions in the Code for the presentation of nutrition information with that used in the U</w:t>
      </w:r>
      <w:r w:rsidRPr="00CF3D12">
        <w:rPr>
          <w:rStyle w:val="ms-rtefontsize-21"/>
          <w:sz w:val="22"/>
          <w:szCs w:val="22"/>
        </w:rPr>
        <w:t xml:space="preserve">nited </w:t>
      </w:r>
      <w:r w:rsidR="00C85D0D" w:rsidRPr="00CF3D12">
        <w:rPr>
          <w:rStyle w:val="ms-rtefontsize-21"/>
          <w:sz w:val="22"/>
          <w:szCs w:val="22"/>
        </w:rPr>
        <w:t>S</w:t>
      </w:r>
      <w:r w:rsidRPr="00CF3D12">
        <w:rPr>
          <w:rStyle w:val="ms-rtefontsize-21"/>
          <w:sz w:val="22"/>
          <w:szCs w:val="22"/>
        </w:rPr>
        <w:t xml:space="preserve">tates of </w:t>
      </w:r>
      <w:r w:rsidR="00C85D0D" w:rsidRPr="00CF3D12">
        <w:rPr>
          <w:rStyle w:val="ms-rtefontsize-21"/>
          <w:sz w:val="22"/>
          <w:szCs w:val="22"/>
        </w:rPr>
        <w:t>A</w:t>
      </w:r>
      <w:r w:rsidRPr="00CF3D12">
        <w:rPr>
          <w:rStyle w:val="ms-rtefontsize-21"/>
          <w:sz w:val="22"/>
          <w:szCs w:val="22"/>
        </w:rPr>
        <w:t>merica (USA)</w:t>
      </w:r>
      <w:r w:rsidR="00C85D0D" w:rsidRPr="00CF3D12">
        <w:rPr>
          <w:rStyle w:val="ms-rtefontsize-21"/>
          <w:sz w:val="22"/>
          <w:szCs w:val="22"/>
        </w:rPr>
        <w:t xml:space="preserve">, Canada and the </w:t>
      </w:r>
      <w:r w:rsidRPr="00CF3D12">
        <w:rPr>
          <w:rStyle w:val="ms-rtefontsize-21"/>
          <w:sz w:val="22"/>
          <w:szCs w:val="22"/>
        </w:rPr>
        <w:t>European Union (EU)</w:t>
      </w:r>
      <w:r w:rsidR="002A1D32" w:rsidRPr="00CF3D12">
        <w:rPr>
          <w:rStyle w:val="ms-rtefontsize-21"/>
          <w:sz w:val="22"/>
          <w:szCs w:val="22"/>
        </w:rPr>
        <w:t xml:space="preserve"> and </w:t>
      </w:r>
      <w:r w:rsidR="00CF3D12">
        <w:rPr>
          <w:rStyle w:val="ms-rtefontsize-21"/>
          <w:sz w:val="22"/>
          <w:szCs w:val="22"/>
        </w:rPr>
        <w:t xml:space="preserve">with guidelines provided by the Codex Alimentarius Commission </w:t>
      </w:r>
    </w:p>
    <w:p w14:paraId="69D7F5C6" w14:textId="00C64103" w:rsidR="00C85D0D" w:rsidRPr="00CF3D12" w:rsidRDefault="000C299D" w:rsidP="00C85D0D">
      <w:pPr>
        <w:pStyle w:val="FSBullet1"/>
        <w:numPr>
          <w:ilvl w:val="0"/>
          <w:numId w:val="6"/>
        </w:numPr>
        <w:ind w:left="567" w:hanging="567"/>
        <w:rPr>
          <w:szCs w:val="22"/>
        </w:rPr>
      </w:pPr>
      <w:r w:rsidRPr="00CF3D12">
        <w:rPr>
          <w:rStyle w:val="ms-rtefontsize-21"/>
          <w:sz w:val="22"/>
          <w:szCs w:val="22"/>
        </w:rPr>
        <w:t>considered</w:t>
      </w:r>
      <w:r w:rsidR="00C85D0D" w:rsidRPr="00CF3D12">
        <w:rPr>
          <w:rStyle w:val="ms-rtefontsize-21"/>
          <w:sz w:val="22"/>
          <w:szCs w:val="22"/>
        </w:rPr>
        <w:t xml:space="preserve"> </w:t>
      </w:r>
      <w:r w:rsidR="001146C6">
        <w:rPr>
          <w:rStyle w:val="ms-rtefontsize-21"/>
          <w:sz w:val="22"/>
          <w:szCs w:val="22"/>
        </w:rPr>
        <w:t>the</w:t>
      </w:r>
      <w:r w:rsidR="00C85D0D" w:rsidRPr="00CF3D12">
        <w:rPr>
          <w:rStyle w:val="ms-rtefontsize-21"/>
          <w:sz w:val="22"/>
          <w:szCs w:val="22"/>
        </w:rPr>
        <w:t xml:space="preserve"> technical consequences of removing the mandatory requirement for per serving information on other requirements in the Code and other labelling information such as voluntary front-of-pack labelling</w:t>
      </w:r>
      <w:r w:rsidR="00C85D0D" w:rsidRPr="00CF3D12">
        <w:rPr>
          <w:szCs w:val="22"/>
        </w:rPr>
        <w:t>.</w:t>
      </w:r>
    </w:p>
    <w:p w14:paraId="65F2C3DD" w14:textId="77777777" w:rsidR="004B6526" w:rsidRDefault="004B6526" w:rsidP="00E47ED0">
      <w:pPr>
        <w:ind w:left="567" w:hanging="567"/>
        <w:rPr>
          <w:lang w:bidi="ar-SA"/>
        </w:rPr>
      </w:pPr>
    </w:p>
    <w:p w14:paraId="009D3103" w14:textId="36939529" w:rsidR="00E47ED0" w:rsidRDefault="00E47ED0" w:rsidP="00E47ED0">
      <w:pPr>
        <w:ind w:left="567" w:hanging="567"/>
        <w:rPr>
          <w:lang w:bidi="ar-SA"/>
        </w:rPr>
      </w:pPr>
      <w:r>
        <w:rPr>
          <w:lang w:bidi="ar-SA"/>
        </w:rPr>
        <w:t>The key findings from this analysis of Recommendation 17 are as follows:</w:t>
      </w:r>
    </w:p>
    <w:p w14:paraId="296DE388" w14:textId="77777777" w:rsidR="00E47ED0" w:rsidRDefault="00E47ED0" w:rsidP="00E47ED0">
      <w:pPr>
        <w:ind w:left="567" w:hanging="567"/>
        <w:rPr>
          <w:lang w:bidi="ar-SA"/>
        </w:rPr>
      </w:pPr>
    </w:p>
    <w:p w14:paraId="5F3D41FF" w14:textId="20C3EF75" w:rsidR="004551D2" w:rsidRDefault="00E90DB6" w:rsidP="004551D2">
      <w:pPr>
        <w:pStyle w:val="ListParagraph"/>
        <w:numPr>
          <w:ilvl w:val="0"/>
          <w:numId w:val="30"/>
        </w:numPr>
        <w:ind w:left="567" w:hanging="567"/>
      </w:pPr>
      <w:r>
        <w:t>Submissions indicated that c</w:t>
      </w:r>
      <w:r w:rsidR="004551D2">
        <w:t>onsumers, including those managing diseases, health professionals, food businesses and government agencies all value per serving information in the NIP.</w:t>
      </w:r>
    </w:p>
    <w:p w14:paraId="4C19B86A" w14:textId="77777777" w:rsidR="004551D2" w:rsidRDefault="004551D2" w:rsidP="004551D2">
      <w:pPr>
        <w:pStyle w:val="ListParagraph"/>
        <w:ind w:left="567"/>
      </w:pPr>
    </w:p>
    <w:p w14:paraId="11C4A01D" w14:textId="550189F1" w:rsidR="004551D2" w:rsidRDefault="004551D2" w:rsidP="004551D2">
      <w:pPr>
        <w:pStyle w:val="ListParagraph"/>
        <w:numPr>
          <w:ilvl w:val="0"/>
          <w:numId w:val="31"/>
        </w:numPr>
        <w:ind w:left="567" w:hanging="567"/>
      </w:pPr>
      <w:r>
        <w:lastRenderedPageBreak/>
        <w:t>The vast majority of the 78 submitters to the public consultation did not support the recommendation to remove the mandatory requirement for per serving information in the NIP.</w:t>
      </w:r>
      <w:r w:rsidR="00E90DB6">
        <w:t xml:space="preserve"> This view was expressed by consumers, health professionals, food businesses and government agencies.</w:t>
      </w:r>
    </w:p>
    <w:p w14:paraId="3F3F37B3" w14:textId="77777777" w:rsidR="004551D2" w:rsidRDefault="004551D2" w:rsidP="004551D2"/>
    <w:p w14:paraId="7748AC95" w14:textId="77777777" w:rsidR="004551D2" w:rsidRPr="004551D2" w:rsidRDefault="004551D2" w:rsidP="004551D2">
      <w:pPr>
        <w:pStyle w:val="ListParagraph"/>
        <w:numPr>
          <w:ilvl w:val="0"/>
          <w:numId w:val="32"/>
        </w:numPr>
        <w:ind w:left="567" w:hanging="567"/>
        <w:rPr>
          <w:rFonts w:cs="Arial"/>
        </w:rPr>
      </w:pPr>
      <w:r w:rsidRPr="004551D2">
        <w:rPr>
          <w:rFonts w:cs="Arial"/>
        </w:rPr>
        <w:t>Reasons given by submitters for not supporting removing the mandatory requirement for per serving information in the NIP included:</w:t>
      </w:r>
    </w:p>
    <w:p w14:paraId="3A11D92C" w14:textId="77777777" w:rsidR="004551D2" w:rsidRPr="004551D2" w:rsidRDefault="004551D2" w:rsidP="004551D2">
      <w:pPr>
        <w:pStyle w:val="ListParagraph"/>
        <w:rPr>
          <w:rFonts w:cs="Arial"/>
        </w:rPr>
      </w:pPr>
    </w:p>
    <w:p w14:paraId="59C54F5D" w14:textId="77777777" w:rsidR="004551D2" w:rsidRPr="004551D2" w:rsidRDefault="004551D2" w:rsidP="004551D2">
      <w:pPr>
        <w:pStyle w:val="FSDash"/>
        <w:numPr>
          <w:ilvl w:val="0"/>
          <w:numId w:val="33"/>
        </w:numPr>
        <w:ind w:left="1134" w:hanging="567"/>
        <w:rPr>
          <w:rFonts w:cs="Arial"/>
          <w:szCs w:val="22"/>
        </w:rPr>
      </w:pPr>
      <w:r w:rsidRPr="004551D2">
        <w:rPr>
          <w:rFonts w:cs="Arial"/>
          <w:szCs w:val="22"/>
        </w:rPr>
        <w:t>lack of a defined problem with per serving requirements</w:t>
      </w:r>
    </w:p>
    <w:p w14:paraId="01828F96" w14:textId="77777777" w:rsidR="004551D2" w:rsidRPr="004551D2" w:rsidRDefault="004551D2" w:rsidP="004551D2">
      <w:pPr>
        <w:pStyle w:val="FSDash"/>
        <w:numPr>
          <w:ilvl w:val="0"/>
          <w:numId w:val="33"/>
        </w:numPr>
        <w:ind w:left="1134" w:hanging="567"/>
        <w:rPr>
          <w:rFonts w:cs="Arial"/>
          <w:szCs w:val="22"/>
        </w:rPr>
      </w:pPr>
      <w:r w:rsidRPr="004551D2">
        <w:rPr>
          <w:rFonts w:cs="Arial"/>
          <w:szCs w:val="22"/>
        </w:rPr>
        <w:t>lack of apparent benefit for any stakeholder group</w:t>
      </w:r>
    </w:p>
    <w:p w14:paraId="08CB1715" w14:textId="77777777" w:rsidR="004551D2" w:rsidRPr="004551D2" w:rsidRDefault="004551D2" w:rsidP="004551D2">
      <w:pPr>
        <w:pStyle w:val="FSDash"/>
        <w:numPr>
          <w:ilvl w:val="0"/>
          <w:numId w:val="33"/>
        </w:numPr>
        <w:ind w:left="1134" w:hanging="567"/>
        <w:rPr>
          <w:rFonts w:cs="Arial"/>
          <w:szCs w:val="22"/>
        </w:rPr>
      </w:pPr>
      <w:r w:rsidRPr="004551D2">
        <w:rPr>
          <w:rFonts w:cs="Arial"/>
          <w:szCs w:val="22"/>
        </w:rPr>
        <w:t xml:space="preserve">possible increased consumer confusion with variability in the content and format of NIPs given inclusion of per serving information would be voluntary </w:t>
      </w:r>
    </w:p>
    <w:p w14:paraId="72412CD6" w14:textId="77777777" w:rsidR="004551D2" w:rsidRPr="004551D2" w:rsidRDefault="004551D2" w:rsidP="004551D2">
      <w:pPr>
        <w:pStyle w:val="FSDash"/>
        <w:numPr>
          <w:ilvl w:val="0"/>
          <w:numId w:val="33"/>
        </w:numPr>
        <w:ind w:left="1134" w:hanging="567"/>
        <w:rPr>
          <w:rFonts w:cs="Arial"/>
          <w:szCs w:val="22"/>
        </w:rPr>
      </w:pPr>
      <w:r w:rsidRPr="004551D2">
        <w:rPr>
          <w:rFonts w:cs="Arial"/>
          <w:szCs w:val="22"/>
        </w:rPr>
        <w:t>increased difficulty for consumers in calculating per serving amounts</w:t>
      </w:r>
    </w:p>
    <w:p w14:paraId="4961F987" w14:textId="77777777" w:rsidR="004551D2" w:rsidRPr="004551D2" w:rsidRDefault="004551D2" w:rsidP="004551D2">
      <w:pPr>
        <w:pStyle w:val="FSDash"/>
        <w:numPr>
          <w:ilvl w:val="0"/>
          <w:numId w:val="33"/>
        </w:numPr>
        <w:ind w:left="1134" w:hanging="567"/>
        <w:rPr>
          <w:rFonts w:cs="Arial"/>
          <w:szCs w:val="22"/>
        </w:rPr>
      </w:pPr>
      <w:r w:rsidRPr="004551D2">
        <w:rPr>
          <w:rFonts w:cs="Arial"/>
          <w:szCs w:val="22"/>
        </w:rPr>
        <w:t>little, if any, reduction in regulatory burden for industry</w:t>
      </w:r>
    </w:p>
    <w:p w14:paraId="4EAE81CA" w14:textId="77777777" w:rsidR="004551D2" w:rsidRPr="004551D2" w:rsidRDefault="004551D2" w:rsidP="004551D2">
      <w:pPr>
        <w:pStyle w:val="FSDash"/>
        <w:numPr>
          <w:ilvl w:val="0"/>
          <w:numId w:val="33"/>
        </w:numPr>
        <w:ind w:left="1134" w:hanging="567"/>
        <w:rPr>
          <w:rFonts w:cs="Arial"/>
          <w:szCs w:val="22"/>
        </w:rPr>
      </w:pPr>
      <w:r w:rsidRPr="004551D2">
        <w:rPr>
          <w:rFonts w:cs="Arial"/>
          <w:szCs w:val="22"/>
        </w:rPr>
        <w:t>increased complexity of a valued nutrition education tool from variability in content and format of the NIP</w:t>
      </w:r>
    </w:p>
    <w:p w14:paraId="17B602BE" w14:textId="77777777" w:rsidR="004551D2" w:rsidRPr="004551D2" w:rsidRDefault="004551D2" w:rsidP="004551D2">
      <w:pPr>
        <w:pStyle w:val="FSDash"/>
        <w:numPr>
          <w:ilvl w:val="0"/>
          <w:numId w:val="33"/>
        </w:numPr>
        <w:ind w:left="1134" w:hanging="567"/>
        <w:rPr>
          <w:rFonts w:cs="Arial"/>
          <w:szCs w:val="22"/>
        </w:rPr>
      </w:pPr>
      <w:r w:rsidRPr="004551D2">
        <w:rPr>
          <w:rFonts w:cs="Arial"/>
          <w:szCs w:val="22"/>
        </w:rPr>
        <w:t>increased difficulty with compliance and enforcement activities.</w:t>
      </w:r>
    </w:p>
    <w:p w14:paraId="3C93FD21" w14:textId="77777777" w:rsidR="004551D2" w:rsidRDefault="004551D2" w:rsidP="004551D2">
      <w:pPr>
        <w:pStyle w:val="ListParagraph"/>
        <w:ind w:left="1134"/>
      </w:pPr>
    </w:p>
    <w:p w14:paraId="1462A71E" w14:textId="77777777" w:rsidR="004551D2" w:rsidRDefault="004551D2" w:rsidP="004551D2">
      <w:pPr>
        <w:pStyle w:val="ListParagraph"/>
        <w:numPr>
          <w:ilvl w:val="0"/>
          <w:numId w:val="34"/>
        </w:numPr>
        <w:ind w:left="567" w:hanging="567"/>
      </w:pPr>
      <w:r>
        <w:t>The requirements for the declaration of energy and nutrients in the NIP in Australia/New Zealand differ from those in the USA, Canada and the EU. The main differences are that in the USA and Canada, energy and nutrients are declared per serving (and not per 100 g/100 mL) while in the EU, energy and nutrients are declared per 100 g/100 mL with the option of including per serving amounts.</w:t>
      </w:r>
    </w:p>
    <w:p w14:paraId="27B1F25B" w14:textId="77777777" w:rsidR="004551D2" w:rsidRDefault="004551D2" w:rsidP="004551D2">
      <w:pPr>
        <w:pStyle w:val="ListParagraph"/>
        <w:ind w:left="567"/>
      </w:pPr>
    </w:p>
    <w:p w14:paraId="70AB5955" w14:textId="77777777" w:rsidR="004551D2" w:rsidRDefault="004551D2" w:rsidP="004551D2">
      <w:pPr>
        <w:pStyle w:val="ListParagraph"/>
        <w:numPr>
          <w:ilvl w:val="0"/>
          <w:numId w:val="35"/>
        </w:numPr>
        <w:ind w:left="567" w:hanging="567"/>
      </w:pPr>
      <w:r>
        <w:t>Should recommendation 17 be considered further, the impact of implementing the recommendation on a number of standards in the Code would need to be assessed. Situations where per serving information might be mandated would also need to be investigated, for example, when a daily intake claim or nutrition content or health claim is made.</w:t>
      </w:r>
    </w:p>
    <w:p w14:paraId="788F0EA2" w14:textId="77777777" w:rsidR="004551D2" w:rsidRDefault="004551D2" w:rsidP="004551D2">
      <w:pPr>
        <w:pStyle w:val="ListParagraph"/>
        <w:ind w:left="567"/>
      </w:pPr>
    </w:p>
    <w:p w14:paraId="23314754" w14:textId="77777777" w:rsidR="004551D2" w:rsidRDefault="004551D2" w:rsidP="004551D2">
      <w:pPr>
        <w:pStyle w:val="ListParagraph"/>
        <w:numPr>
          <w:ilvl w:val="0"/>
          <w:numId w:val="36"/>
        </w:numPr>
        <w:ind w:left="567" w:hanging="567"/>
      </w:pPr>
      <w:r>
        <w:t>While some submitters stated it was unclear whether there is a problem with current requirements for per serving information, some noted that improvements could be made to the NIP in general. It was suggested that a review of the NIP as a whole may be helpful to identify problems and that such a review should be undertaken in the context of all nutrition labelling including front-of-pack labelling. Several submitters considered mandating serving sizes to be a more important issue than changing requirements for per serving information.</w:t>
      </w:r>
    </w:p>
    <w:p w14:paraId="348A1957" w14:textId="77777777" w:rsidR="004551D2" w:rsidRDefault="004551D2" w:rsidP="004551D2">
      <w:pPr>
        <w:pStyle w:val="ListParagraph"/>
      </w:pPr>
    </w:p>
    <w:p w14:paraId="30FADE72" w14:textId="77777777" w:rsidR="004551D2" w:rsidRDefault="004551D2" w:rsidP="004551D2">
      <w:pPr>
        <w:pStyle w:val="ListParagraph"/>
        <w:numPr>
          <w:ilvl w:val="0"/>
          <w:numId w:val="37"/>
        </w:numPr>
        <w:ind w:left="567" w:hanging="567"/>
      </w:pPr>
      <w:r>
        <w:t>Submitters noted that no decision about nutrition labelling should be made without consumer research in the Australia and New Zealand context.</w:t>
      </w:r>
    </w:p>
    <w:p w14:paraId="3F0E5A43" w14:textId="77777777" w:rsidR="004551D2" w:rsidRPr="00810A8A" w:rsidRDefault="004551D2" w:rsidP="00E47ED0">
      <w:pPr>
        <w:ind w:left="567" w:hanging="567"/>
        <w:rPr>
          <w:lang w:bidi="ar-SA"/>
        </w:rPr>
      </w:pPr>
    </w:p>
    <w:p w14:paraId="7EC5CEB7" w14:textId="0762AF1C" w:rsidR="007F0158" w:rsidRDefault="007F0158" w:rsidP="00E47ED0"/>
    <w:p w14:paraId="7EC5CEB8" w14:textId="77777777" w:rsidR="00EB6590" w:rsidRDefault="00EB6590" w:rsidP="00F526BD"/>
    <w:p w14:paraId="7EC5CEB9" w14:textId="77777777" w:rsidR="00A671E6" w:rsidRDefault="00A671E6" w:rsidP="00CC5468">
      <w:pPr>
        <w:sectPr w:rsidR="00A671E6" w:rsidSect="00150B54">
          <w:headerReference w:type="default" r:id="rId16"/>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p>
    <w:p w14:paraId="7EC5CEBA" w14:textId="77777777" w:rsidR="0012388D" w:rsidRPr="00EC66BB"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4ED011BA" w14:textId="77777777" w:rsidR="00AD5ADC" w:rsidRDefault="00221664">
      <w:pPr>
        <w:pStyle w:val="TOC1"/>
        <w:tabs>
          <w:tab w:val="right" w:leader="dot" w:pos="9016"/>
        </w:tabs>
        <w:rPr>
          <w:rFonts w:asciiTheme="minorHAnsi" w:eastAsiaTheme="minorEastAsia" w:hAnsiTheme="minorHAnsi" w:cstheme="minorBidi"/>
          <w:b w:val="0"/>
          <w:bCs w:val="0"/>
          <w:caps w:val="0"/>
          <w:noProof/>
          <w:szCs w:val="22"/>
          <w:lang w:val="en-NZ" w:eastAsia="en-NZ" w:bidi="ar-SA"/>
        </w:rPr>
      </w:pPr>
      <w:r>
        <w:rPr>
          <w:rFonts w:cs="Arial"/>
          <w:smallCaps/>
          <w:sz w:val="28"/>
          <w:szCs w:val="28"/>
        </w:rPr>
        <w:fldChar w:fldCharType="begin"/>
      </w:r>
      <w:r>
        <w:rPr>
          <w:rFonts w:cs="Arial"/>
          <w:smallCaps/>
          <w:sz w:val="28"/>
          <w:szCs w:val="28"/>
        </w:rPr>
        <w:instrText xml:space="preserve"> TOC \o "1-2" \h \z \u </w:instrText>
      </w:r>
      <w:r>
        <w:rPr>
          <w:rFonts w:cs="Arial"/>
          <w:smallCaps/>
          <w:sz w:val="28"/>
          <w:szCs w:val="28"/>
        </w:rPr>
        <w:fldChar w:fldCharType="separate"/>
      </w:r>
      <w:hyperlink w:anchor="_Toc437416143" w:history="1">
        <w:r w:rsidR="00AD5ADC" w:rsidRPr="00190A83">
          <w:rPr>
            <w:rStyle w:val="Hyperlink"/>
            <w:noProof/>
          </w:rPr>
          <w:t>Executive summary</w:t>
        </w:r>
        <w:r w:rsidR="00AD5ADC">
          <w:rPr>
            <w:noProof/>
            <w:webHidden/>
          </w:rPr>
          <w:tab/>
        </w:r>
        <w:r w:rsidR="00AD5ADC">
          <w:rPr>
            <w:noProof/>
            <w:webHidden/>
          </w:rPr>
          <w:fldChar w:fldCharType="begin"/>
        </w:r>
        <w:r w:rsidR="00AD5ADC">
          <w:rPr>
            <w:noProof/>
            <w:webHidden/>
          </w:rPr>
          <w:instrText xml:space="preserve"> PAGEREF _Toc437416143 \h </w:instrText>
        </w:r>
        <w:r w:rsidR="00AD5ADC">
          <w:rPr>
            <w:noProof/>
            <w:webHidden/>
          </w:rPr>
        </w:r>
        <w:r w:rsidR="00AD5ADC">
          <w:rPr>
            <w:noProof/>
            <w:webHidden/>
          </w:rPr>
          <w:fldChar w:fldCharType="separate"/>
        </w:r>
        <w:r w:rsidR="00AD5ADC">
          <w:rPr>
            <w:noProof/>
            <w:webHidden/>
          </w:rPr>
          <w:t>i</w:t>
        </w:r>
        <w:r w:rsidR="00AD5ADC">
          <w:rPr>
            <w:noProof/>
            <w:webHidden/>
          </w:rPr>
          <w:fldChar w:fldCharType="end"/>
        </w:r>
      </w:hyperlink>
    </w:p>
    <w:p w14:paraId="1F44F53F" w14:textId="77777777" w:rsidR="00AD5ADC" w:rsidRDefault="00814ED9">
      <w:pPr>
        <w:pStyle w:val="TOC1"/>
        <w:tabs>
          <w:tab w:val="left" w:pos="440"/>
          <w:tab w:val="right" w:leader="dot" w:pos="9016"/>
        </w:tabs>
        <w:rPr>
          <w:rFonts w:asciiTheme="minorHAnsi" w:eastAsiaTheme="minorEastAsia" w:hAnsiTheme="minorHAnsi" w:cstheme="minorBidi"/>
          <w:b w:val="0"/>
          <w:bCs w:val="0"/>
          <w:caps w:val="0"/>
          <w:noProof/>
          <w:szCs w:val="22"/>
          <w:lang w:val="en-NZ" w:eastAsia="en-NZ" w:bidi="ar-SA"/>
        </w:rPr>
      </w:pPr>
      <w:hyperlink w:anchor="_Toc437416144" w:history="1">
        <w:r w:rsidR="00AD5ADC" w:rsidRPr="00190A83">
          <w:rPr>
            <w:rStyle w:val="Hyperlink"/>
            <w:noProof/>
          </w:rPr>
          <w:t>1</w:t>
        </w:r>
        <w:r w:rsidR="00AD5ADC">
          <w:rPr>
            <w:rFonts w:asciiTheme="minorHAnsi" w:eastAsiaTheme="minorEastAsia" w:hAnsiTheme="minorHAnsi" w:cstheme="minorBidi"/>
            <w:b w:val="0"/>
            <w:bCs w:val="0"/>
            <w:caps w:val="0"/>
            <w:noProof/>
            <w:szCs w:val="22"/>
            <w:lang w:val="en-NZ" w:eastAsia="en-NZ" w:bidi="ar-SA"/>
          </w:rPr>
          <w:tab/>
        </w:r>
        <w:r w:rsidR="00AD5ADC" w:rsidRPr="00190A83">
          <w:rPr>
            <w:rStyle w:val="Hyperlink"/>
            <w:noProof/>
          </w:rPr>
          <w:t>Introduction</w:t>
        </w:r>
        <w:r w:rsidR="00AD5ADC">
          <w:rPr>
            <w:noProof/>
            <w:webHidden/>
          </w:rPr>
          <w:tab/>
        </w:r>
        <w:r w:rsidR="00AD5ADC">
          <w:rPr>
            <w:noProof/>
            <w:webHidden/>
          </w:rPr>
          <w:fldChar w:fldCharType="begin"/>
        </w:r>
        <w:r w:rsidR="00AD5ADC">
          <w:rPr>
            <w:noProof/>
            <w:webHidden/>
          </w:rPr>
          <w:instrText xml:space="preserve"> PAGEREF _Toc437416144 \h </w:instrText>
        </w:r>
        <w:r w:rsidR="00AD5ADC">
          <w:rPr>
            <w:noProof/>
            <w:webHidden/>
          </w:rPr>
        </w:r>
        <w:r w:rsidR="00AD5ADC">
          <w:rPr>
            <w:noProof/>
            <w:webHidden/>
          </w:rPr>
          <w:fldChar w:fldCharType="separate"/>
        </w:r>
        <w:r w:rsidR="00AD5ADC">
          <w:rPr>
            <w:noProof/>
            <w:webHidden/>
          </w:rPr>
          <w:t>1</w:t>
        </w:r>
        <w:r w:rsidR="00AD5ADC">
          <w:rPr>
            <w:noProof/>
            <w:webHidden/>
          </w:rPr>
          <w:fldChar w:fldCharType="end"/>
        </w:r>
      </w:hyperlink>
    </w:p>
    <w:p w14:paraId="33814236" w14:textId="77777777" w:rsidR="00AD5ADC" w:rsidRDefault="00814ED9">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37416145" w:history="1">
        <w:r w:rsidR="00AD5ADC" w:rsidRPr="00190A83">
          <w:rPr>
            <w:rStyle w:val="Hyperlink"/>
            <w:noProof/>
          </w:rPr>
          <w:t>1.1</w:t>
        </w:r>
        <w:r w:rsidR="00AD5ADC">
          <w:rPr>
            <w:rFonts w:asciiTheme="minorHAnsi" w:eastAsiaTheme="minorEastAsia" w:hAnsiTheme="minorHAnsi" w:cstheme="minorBidi"/>
            <w:smallCaps w:val="0"/>
            <w:noProof/>
            <w:szCs w:val="22"/>
            <w:lang w:val="en-NZ" w:eastAsia="en-NZ" w:bidi="ar-SA"/>
          </w:rPr>
          <w:tab/>
        </w:r>
        <w:r w:rsidR="00AD5ADC" w:rsidRPr="00190A83">
          <w:rPr>
            <w:rStyle w:val="Hyperlink"/>
            <w:noProof/>
          </w:rPr>
          <w:t>Background to Recommendation 17 – Per serving declarations in the nutrition information panel</w:t>
        </w:r>
        <w:r w:rsidR="00AD5ADC">
          <w:rPr>
            <w:noProof/>
            <w:webHidden/>
          </w:rPr>
          <w:tab/>
        </w:r>
        <w:r w:rsidR="00AD5ADC">
          <w:rPr>
            <w:noProof/>
            <w:webHidden/>
          </w:rPr>
          <w:fldChar w:fldCharType="begin"/>
        </w:r>
        <w:r w:rsidR="00AD5ADC">
          <w:rPr>
            <w:noProof/>
            <w:webHidden/>
          </w:rPr>
          <w:instrText xml:space="preserve"> PAGEREF _Toc437416145 \h </w:instrText>
        </w:r>
        <w:r w:rsidR="00AD5ADC">
          <w:rPr>
            <w:noProof/>
            <w:webHidden/>
          </w:rPr>
        </w:r>
        <w:r w:rsidR="00AD5ADC">
          <w:rPr>
            <w:noProof/>
            <w:webHidden/>
          </w:rPr>
          <w:fldChar w:fldCharType="separate"/>
        </w:r>
        <w:r w:rsidR="00AD5ADC">
          <w:rPr>
            <w:noProof/>
            <w:webHidden/>
          </w:rPr>
          <w:t>1</w:t>
        </w:r>
        <w:r w:rsidR="00AD5ADC">
          <w:rPr>
            <w:noProof/>
            <w:webHidden/>
          </w:rPr>
          <w:fldChar w:fldCharType="end"/>
        </w:r>
      </w:hyperlink>
    </w:p>
    <w:p w14:paraId="00D5E0AC" w14:textId="77777777" w:rsidR="00AD5ADC" w:rsidRDefault="00814ED9">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37416146" w:history="1">
        <w:r w:rsidR="00AD5ADC" w:rsidRPr="00190A83">
          <w:rPr>
            <w:rStyle w:val="Hyperlink"/>
            <w:noProof/>
          </w:rPr>
          <w:t>1.2</w:t>
        </w:r>
        <w:r w:rsidR="00AD5ADC">
          <w:rPr>
            <w:rFonts w:asciiTheme="minorHAnsi" w:eastAsiaTheme="minorEastAsia" w:hAnsiTheme="minorHAnsi" w:cstheme="minorBidi"/>
            <w:smallCaps w:val="0"/>
            <w:noProof/>
            <w:szCs w:val="22"/>
            <w:lang w:val="en-NZ" w:eastAsia="en-NZ" w:bidi="ar-SA"/>
          </w:rPr>
          <w:tab/>
        </w:r>
        <w:r w:rsidR="00AD5ADC" w:rsidRPr="00190A83">
          <w:rPr>
            <w:rStyle w:val="Hyperlink"/>
            <w:noProof/>
          </w:rPr>
          <w:t>Government response to Recommendation 17</w:t>
        </w:r>
        <w:r w:rsidR="00AD5ADC">
          <w:rPr>
            <w:noProof/>
            <w:webHidden/>
          </w:rPr>
          <w:tab/>
        </w:r>
        <w:r w:rsidR="00AD5ADC">
          <w:rPr>
            <w:noProof/>
            <w:webHidden/>
          </w:rPr>
          <w:fldChar w:fldCharType="begin"/>
        </w:r>
        <w:r w:rsidR="00AD5ADC">
          <w:rPr>
            <w:noProof/>
            <w:webHidden/>
          </w:rPr>
          <w:instrText xml:space="preserve"> PAGEREF _Toc437416146 \h </w:instrText>
        </w:r>
        <w:r w:rsidR="00AD5ADC">
          <w:rPr>
            <w:noProof/>
            <w:webHidden/>
          </w:rPr>
        </w:r>
        <w:r w:rsidR="00AD5ADC">
          <w:rPr>
            <w:noProof/>
            <w:webHidden/>
          </w:rPr>
          <w:fldChar w:fldCharType="separate"/>
        </w:r>
        <w:r w:rsidR="00AD5ADC">
          <w:rPr>
            <w:noProof/>
            <w:webHidden/>
          </w:rPr>
          <w:t>1</w:t>
        </w:r>
        <w:r w:rsidR="00AD5ADC">
          <w:rPr>
            <w:noProof/>
            <w:webHidden/>
          </w:rPr>
          <w:fldChar w:fldCharType="end"/>
        </w:r>
      </w:hyperlink>
    </w:p>
    <w:p w14:paraId="2818CBCD" w14:textId="77777777" w:rsidR="00AD5ADC" w:rsidRDefault="00814ED9">
      <w:pPr>
        <w:pStyle w:val="TOC1"/>
        <w:tabs>
          <w:tab w:val="left" w:pos="440"/>
          <w:tab w:val="right" w:leader="dot" w:pos="9016"/>
        </w:tabs>
        <w:rPr>
          <w:rFonts w:asciiTheme="minorHAnsi" w:eastAsiaTheme="minorEastAsia" w:hAnsiTheme="minorHAnsi" w:cstheme="minorBidi"/>
          <w:b w:val="0"/>
          <w:bCs w:val="0"/>
          <w:caps w:val="0"/>
          <w:noProof/>
          <w:szCs w:val="22"/>
          <w:lang w:val="en-NZ" w:eastAsia="en-NZ" w:bidi="ar-SA"/>
        </w:rPr>
      </w:pPr>
      <w:hyperlink w:anchor="_Toc437416147" w:history="1">
        <w:r w:rsidR="00AD5ADC" w:rsidRPr="00190A83">
          <w:rPr>
            <w:rStyle w:val="Hyperlink"/>
            <w:noProof/>
          </w:rPr>
          <w:t>2</w:t>
        </w:r>
        <w:r w:rsidR="00AD5ADC">
          <w:rPr>
            <w:rFonts w:asciiTheme="minorHAnsi" w:eastAsiaTheme="minorEastAsia" w:hAnsiTheme="minorHAnsi" w:cstheme="minorBidi"/>
            <w:b w:val="0"/>
            <w:bCs w:val="0"/>
            <w:caps w:val="0"/>
            <w:noProof/>
            <w:szCs w:val="22"/>
            <w:lang w:val="en-NZ" w:eastAsia="en-NZ" w:bidi="ar-SA"/>
          </w:rPr>
          <w:tab/>
        </w:r>
        <w:r w:rsidR="00AD5ADC" w:rsidRPr="00190A83">
          <w:rPr>
            <w:rStyle w:val="Hyperlink"/>
            <w:noProof/>
          </w:rPr>
          <w:t>Project objectives and approach</w:t>
        </w:r>
        <w:r w:rsidR="00AD5ADC">
          <w:rPr>
            <w:noProof/>
            <w:webHidden/>
          </w:rPr>
          <w:tab/>
        </w:r>
        <w:r w:rsidR="00AD5ADC">
          <w:rPr>
            <w:noProof/>
            <w:webHidden/>
          </w:rPr>
          <w:fldChar w:fldCharType="begin"/>
        </w:r>
        <w:r w:rsidR="00AD5ADC">
          <w:rPr>
            <w:noProof/>
            <w:webHidden/>
          </w:rPr>
          <w:instrText xml:space="preserve"> PAGEREF _Toc437416147 \h </w:instrText>
        </w:r>
        <w:r w:rsidR="00AD5ADC">
          <w:rPr>
            <w:noProof/>
            <w:webHidden/>
          </w:rPr>
        </w:r>
        <w:r w:rsidR="00AD5ADC">
          <w:rPr>
            <w:noProof/>
            <w:webHidden/>
          </w:rPr>
          <w:fldChar w:fldCharType="separate"/>
        </w:r>
        <w:r w:rsidR="00AD5ADC">
          <w:rPr>
            <w:noProof/>
            <w:webHidden/>
          </w:rPr>
          <w:t>2</w:t>
        </w:r>
        <w:r w:rsidR="00AD5ADC">
          <w:rPr>
            <w:noProof/>
            <w:webHidden/>
          </w:rPr>
          <w:fldChar w:fldCharType="end"/>
        </w:r>
      </w:hyperlink>
    </w:p>
    <w:p w14:paraId="5A4F3C7B" w14:textId="77777777" w:rsidR="00AD5ADC" w:rsidRDefault="00814ED9">
      <w:pPr>
        <w:pStyle w:val="TOC1"/>
        <w:tabs>
          <w:tab w:val="left" w:pos="440"/>
          <w:tab w:val="right" w:leader="dot" w:pos="9016"/>
        </w:tabs>
        <w:rPr>
          <w:rFonts w:asciiTheme="minorHAnsi" w:eastAsiaTheme="minorEastAsia" w:hAnsiTheme="minorHAnsi" w:cstheme="minorBidi"/>
          <w:b w:val="0"/>
          <w:bCs w:val="0"/>
          <w:caps w:val="0"/>
          <w:noProof/>
          <w:szCs w:val="22"/>
          <w:lang w:val="en-NZ" w:eastAsia="en-NZ" w:bidi="ar-SA"/>
        </w:rPr>
      </w:pPr>
      <w:hyperlink w:anchor="_Toc437416148" w:history="1">
        <w:r w:rsidR="00AD5ADC" w:rsidRPr="00190A83">
          <w:rPr>
            <w:rStyle w:val="Hyperlink"/>
            <w:noProof/>
          </w:rPr>
          <w:t>3</w:t>
        </w:r>
        <w:r w:rsidR="00AD5ADC">
          <w:rPr>
            <w:rFonts w:asciiTheme="minorHAnsi" w:eastAsiaTheme="minorEastAsia" w:hAnsiTheme="minorHAnsi" w:cstheme="minorBidi"/>
            <w:b w:val="0"/>
            <w:bCs w:val="0"/>
            <w:caps w:val="0"/>
            <w:noProof/>
            <w:szCs w:val="22"/>
            <w:lang w:val="en-NZ" w:eastAsia="en-NZ" w:bidi="ar-SA"/>
          </w:rPr>
          <w:tab/>
        </w:r>
        <w:r w:rsidR="00AD5ADC" w:rsidRPr="00190A83">
          <w:rPr>
            <w:rStyle w:val="Hyperlink"/>
            <w:noProof/>
          </w:rPr>
          <w:t>Analysis</w:t>
        </w:r>
        <w:r w:rsidR="00AD5ADC">
          <w:rPr>
            <w:noProof/>
            <w:webHidden/>
          </w:rPr>
          <w:tab/>
        </w:r>
        <w:r w:rsidR="00AD5ADC">
          <w:rPr>
            <w:noProof/>
            <w:webHidden/>
          </w:rPr>
          <w:fldChar w:fldCharType="begin"/>
        </w:r>
        <w:r w:rsidR="00AD5ADC">
          <w:rPr>
            <w:noProof/>
            <w:webHidden/>
          </w:rPr>
          <w:instrText xml:space="preserve"> PAGEREF _Toc437416148 \h </w:instrText>
        </w:r>
        <w:r w:rsidR="00AD5ADC">
          <w:rPr>
            <w:noProof/>
            <w:webHidden/>
          </w:rPr>
        </w:r>
        <w:r w:rsidR="00AD5ADC">
          <w:rPr>
            <w:noProof/>
            <w:webHidden/>
          </w:rPr>
          <w:fldChar w:fldCharType="separate"/>
        </w:r>
        <w:r w:rsidR="00AD5ADC">
          <w:rPr>
            <w:noProof/>
            <w:webHidden/>
          </w:rPr>
          <w:t>2</w:t>
        </w:r>
        <w:r w:rsidR="00AD5ADC">
          <w:rPr>
            <w:noProof/>
            <w:webHidden/>
          </w:rPr>
          <w:fldChar w:fldCharType="end"/>
        </w:r>
      </w:hyperlink>
    </w:p>
    <w:p w14:paraId="2CD02B31" w14:textId="77777777" w:rsidR="00AD5ADC" w:rsidRDefault="00814ED9">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37416149" w:history="1">
        <w:r w:rsidR="00AD5ADC" w:rsidRPr="00190A83">
          <w:rPr>
            <w:rStyle w:val="Hyperlink"/>
            <w:noProof/>
          </w:rPr>
          <w:t>3.1</w:t>
        </w:r>
        <w:r w:rsidR="00AD5ADC">
          <w:rPr>
            <w:rFonts w:asciiTheme="minorHAnsi" w:eastAsiaTheme="minorEastAsia" w:hAnsiTheme="minorHAnsi" w:cstheme="minorBidi"/>
            <w:smallCaps w:val="0"/>
            <w:noProof/>
            <w:szCs w:val="22"/>
            <w:lang w:val="en-NZ" w:eastAsia="en-NZ" w:bidi="ar-SA"/>
          </w:rPr>
          <w:tab/>
        </w:r>
        <w:r w:rsidR="00AD5ADC" w:rsidRPr="00190A83">
          <w:rPr>
            <w:rStyle w:val="Hyperlink"/>
            <w:noProof/>
          </w:rPr>
          <w:t>Requirements for per serving information in the Code</w:t>
        </w:r>
        <w:r w:rsidR="00AD5ADC">
          <w:rPr>
            <w:noProof/>
            <w:webHidden/>
          </w:rPr>
          <w:tab/>
        </w:r>
        <w:r w:rsidR="00AD5ADC">
          <w:rPr>
            <w:noProof/>
            <w:webHidden/>
          </w:rPr>
          <w:fldChar w:fldCharType="begin"/>
        </w:r>
        <w:r w:rsidR="00AD5ADC">
          <w:rPr>
            <w:noProof/>
            <w:webHidden/>
          </w:rPr>
          <w:instrText xml:space="preserve"> PAGEREF _Toc437416149 \h </w:instrText>
        </w:r>
        <w:r w:rsidR="00AD5ADC">
          <w:rPr>
            <w:noProof/>
            <w:webHidden/>
          </w:rPr>
        </w:r>
        <w:r w:rsidR="00AD5ADC">
          <w:rPr>
            <w:noProof/>
            <w:webHidden/>
          </w:rPr>
          <w:fldChar w:fldCharType="separate"/>
        </w:r>
        <w:r w:rsidR="00AD5ADC">
          <w:rPr>
            <w:noProof/>
            <w:webHidden/>
          </w:rPr>
          <w:t>2</w:t>
        </w:r>
        <w:r w:rsidR="00AD5ADC">
          <w:rPr>
            <w:noProof/>
            <w:webHidden/>
          </w:rPr>
          <w:fldChar w:fldCharType="end"/>
        </w:r>
      </w:hyperlink>
    </w:p>
    <w:p w14:paraId="4915B345" w14:textId="77777777" w:rsidR="00AD5ADC" w:rsidRDefault="00814ED9">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37416150" w:history="1">
        <w:r w:rsidR="00AD5ADC" w:rsidRPr="00190A83">
          <w:rPr>
            <w:rStyle w:val="Hyperlink"/>
            <w:noProof/>
          </w:rPr>
          <w:t>3.2</w:t>
        </w:r>
        <w:r w:rsidR="00AD5ADC">
          <w:rPr>
            <w:rFonts w:asciiTheme="minorHAnsi" w:eastAsiaTheme="minorEastAsia" w:hAnsiTheme="minorHAnsi" w:cstheme="minorBidi"/>
            <w:smallCaps w:val="0"/>
            <w:noProof/>
            <w:szCs w:val="22"/>
            <w:lang w:val="en-NZ" w:eastAsia="en-NZ" w:bidi="ar-SA"/>
          </w:rPr>
          <w:tab/>
        </w:r>
        <w:r w:rsidR="00AD5ADC" w:rsidRPr="00190A83">
          <w:rPr>
            <w:rStyle w:val="Hyperlink"/>
            <w:noProof/>
          </w:rPr>
          <w:t>International regulatory approaches for nutrition labelling</w:t>
        </w:r>
        <w:r w:rsidR="00AD5ADC">
          <w:rPr>
            <w:noProof/>
            <w:webHidden/>
          </w:rPr>
          <w:tab/>
        </w:r>
        <w:r w:rsidR="00AD5ADC">
          <w:rPr>
            <w:noProof/>
            <w:webHidden/>
          </w:rPr>
          <w:fldChar w:fldCharType="begin"/>
        </w:r>
        <w:r w:rsidR="00AD5ADC">
          <w:rPr>
            <w:noProof/>
            <w:webHidden/>
          </w:rPr>
          <w:instrText xml:space="preserve"> PAGEREF _Toc437416150 \h </w:instrText>
        </w:r>
        <w:r w:rsidR="00AD5ADC">
          <w:rPr>
            <w:noProof/>
            <w:webHidden/>
          </w:rPr>
        </w:r>
        <w:r w:rsidR="00AD5ADC">
          <w:rPr>
            <w:noProof/>
            <w:webHidden/>
          </w:rPr>
          <w:fldChar w:fldCharType="separate"/>
        </w:r>
        <w:r w:rsidR="00AD5ADC">
          <w:rPr>
            <w:noProof/>
            <w:webHidden/>
          </w:rPr>
          <w:t>3</w:t>
        </w:r>
        <w:r w:rsidR="00AD5ADC">
          <w:rPr>
            <w:noProof/>
            <w:webHidden/>
          </w:rPr>
          <w:fldChar w:fldCharType="end"/>
        </w:r>
      </w:hyperlink>
    </w:p>
    <w:p w14:paraId="608B27F2" w14:textId="77777777" w:rsidR="00AD5ADC" w:rsidRDefault="00814ED9">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37416151" w:history="1">
        <w:r w:rsidR="00AD5ADC" w:rsidRPr="00190A83">
          <w:rPr>
            <w:rStyle w:val="Hyperlink"/>
            <w:noProof/>
          </w:rPr>
          <w:t>3.3</w:t>
        </w:r>
        <w:r w:rsidR="00AD5ADC">
          <w:rPr>
            <w:rFonts w:asciiTheme="minorHAnsi" w:eastAsiaTheme="minorEastAsia" w:hAnsiTheme="minorHAnsi" w:cstheme="minorBidi"/>
            <w:smallCaps w:val="0"/>
            <w:noProof/>
            <w:szCs w:val="22"/>
            <w:lang w:val="en-NZ" w:eastAsia="en-NZ" w:bidi="ar-SA"/>
          </w:rPr>
          <w:tab/>
        </w:r>
        <w:r w:rsidR="00AD5ADC" w:rsidRPr="00190A83">
          <w:rPr>
            <w:rStyle w:val="Hyperlink"/>
            <w:noProof/>
          </w:rPr>
          <w:t>Previous FSANZ consideration of per serving information in the NIP</w:t>
        </w:r>
        <w:r w:rsidR="00AD5ADC">
          <w:rPr>
            <w:noProof/>
            <w:webHidden/>
          </w:rPr>
          <w:tab/>
        </w:r>
        <w:r w:rsidR="00AD5ADC">
          <w:rPr>
            <w:noProof/>
            <w:webHidden/>
          </w:rPr>
          <w:fldChar w:fldCharType="begin"/>
        </w:r>
        <w:r w:rsidR="00AD5ADC">
          <w:rPr>
            <w:noProof/>
            <w:webHidden/>
          </w:rPr>
          <w:instrText xml:space="preserve"> PAGEREF _Toc437416151 \h </w:instrText>
        </w:r>
        <w:r w:rsidR="00AD5ADC">
          <w:rPr>
            <w:noProof/>
            <w:webHidden/>
          </w:rPr>
        </w:r>
        <w:r w:rsidR="00AD5ADC">
          <w:rPr>
            <w:noProof/>
            <w:webHidden/>
          </w:rPr>
          <w:fldChar w:fldCharType="separate"/>
        </w:r>
        <w:r w:rsidR="00AD5ADC">
          <w:rPr>
            <w:noProof/>
            <w:webHidden/>
          </w:rPr>
          <w:t>4</w:t>
        </w:r>
        <w:r w:rsidR="00AD5ADC">
          <w:rPr>
            <w:noProof/>
            <w:webHidden/>
          </w:rPr>
          <w:fldChar w:fldCharType="end"/>
        </w:r>
      </w:hyperlink>
    </w:p>
    <w:p w14:paraId="55884C80" w14:textId="77777777" w:rsidR="00AD5ADC" w:rsidRDefault="00814ED9">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37416152" w:history="1">
        <w:r w:rsidR="00AD5ADC" w:rsidRPr="00190A83">
          <w:rPr>
            <w:rStyle w:val="Hyperlink"/>
            <w:noProof/>
          </w:rPr>
          <w:t>3.4</w:t>
        </w:r>
        <w:r w:rsidR="00AD5ADC">
          <w:rPr>
            <w:rFonts w:asciiTheme="minorHAnsi" w:eastAsiaTheme="minorEastAsia" w:hAnsiTheme="minorHAnsi" w:cstheme="minorBidi"/>
            <w:smallCaps w:val="0"/>
            <w:noProof/>
            <w:szCs w:val="22"/>
            <w:lang w:val="en-NZ" w:eastAsia="en-NZ" w:bidi="ar-SA"/>
          </w:rPr>
          <w:tab/>
        </w:r>
        <w:r w:rsidR="00AD5ADC" w:rsidRPr="00190A83">
          <w:rPr>
            <w:rStyle w:val="Hyperlink"/>
            <w:noProof/>
          </w:rPr>
          <w:t>Public consultation on Recommendation 17</w:t>
        </w:r>
        <w:r w:rsidR="00AD5ADC">
          <w:rPr>
            <w:noProof/>
            <w:webHidden/>
          </w:rPr>
          <w:tab/>
        </w:r>
        <w:r w:rsidR="00AD5ADC">
          <w:rPr>
            <w:noProof/>
            <w:webHidden/>
          </w:rPr>
          <w:fldChar w:fldCharType="begin"/>
        </w:r>
        <w:r w:rsidR="00AD5ADC">
          <w:rPr>
            <w:noProof/>
            <w:webHidden/>
          </w:rPr>
          <w:instrText xml:space="preserve"> PAGEREF _Toc437416152 \h </w:instrText>
        </w:r>
        <w:r w:rsidR="00AD5ADC">
          <w:rPr>
            <w:noProof/>
            <w:webHidden/>
          </w:rPr>
        </w:r>
        <w:r w:rsidR="00AD5ADC">
          <w:rPr>
            <w:noProof/>
            <w:webHidden/>
          </w:rPr>
          <w:fldChar w:fldCharType="separate"/>
        </w:r>
        <w:r w:rsidR="00AD5ADC">
          <w:rPr>
            <w:noProof/>
            <w:webHidden/>
          </w:rPr>
          <w:t>4</w:t>
        </w:r>
        <w:r w:rsidR="00AD5ADC">
          <w:rPr>
            <w:noProof/>
            <w:webHidden/>
          </w:rPr>
          <w:fldChar w:fldCharType="end"/>
        </w:r>
      </w:hyperlink>
    </w:p>
    <w:p w14:paraId="68EB9F51" w14:textId="77777777" w:rsidR="00AD5ADC" w:rsidRDefault="00814ED9">
      <w:pPr>
        <w:pStyle w:val="TOC1"/>
        <w:tabs>
          <w:tab w:val="left" w:pos="440"/>
          <w:tab w:val="right" w:leader="dot" w:pos="9016"/>
        </w:tabs>
        <w:rPr>
          <w:rFonts w:asciiTheme="minorHAnsi" w:eastAsiaTheme="minorEastAsia" w:hAnsiTheme="minorHAnsi" w:cstheme="minorBidi"/>
          <w:b w:val="0"/>
          <w:bCs w:val="0"/>
          <w:caps w:val="0"/>
          <w:noProof/>
          <w:szCs w:val="22"/>
          <w:lang w:val="en-NZ" w:eastAsia="en-NZ" w:bidi="ar-SA"/>
        </w:rPr>
      </w:pPr>
      <w:hyperlink w:anchor="_Toc437416153" w:history="1">
        <w:r w:rsidR="00AD5ADC" w:rsidRPr="00190A83">
          <w:rPr>
            <w:rStyle w:val="Hyperlink"/>
            <w:noProof/>
          </w:rPr>
          <w:t>4</w:t>
        </w:r>
        <w:r w:rsidR="00AD5ADC">
          <w:rPr>
            <w:rFonts w:asciiTheme="minorHAnsi" w:eastAsiaTheme="minorEastAsia" w:hAnsiTheme="minorHAnsi" w:cstheme="minorBidi"/>
            <w:b w:val="0"/>
            <w:bCs w:val="0"/>
            <w:caps w:val="0"/>
            <w:noProof/>
            <w:szCs w:val="22"/>
            <w:lang w:val="en-NZ" w:eastAsia="en-NZ" w:bidi="ar-SA"/>
          </w:rPr>
          <w:tab/>
        </w:r>
        <w:r w:rsidR="00AD5ADC" w:rsidRPr="00190A83">
          <w:rPr>
            <w:rStyle w:val="Hyperlink"/>
            <w:noProof/>
          </w:rPr>
          <w:t>Conclusion</w:t>
        </w:r>
        <w:r w:rsidR="00AD5ADC">
          <w:rPr>
            <w:noProof/>
            <w:webHidden/>
          </w:rPr>
          <w:tab/>
        </w:r>
        <w:r w:rsidR="00AD5ADC">
          <w:rPr>
            <w:noProof/>
            <w:webHidden/>
          </w:rPr>
          <w:fldChar w:fldCharType="begin"/>
        </w:r>
        <w:r w:rsidR="00AD5ADC">
          <w:rPr>
            <w:noProof/>
            <w:webHidden/>
          </w:rPr>
          <w:instrText xml:space="preserve"> PAGEREF _Toc437416153 \h </w:instrText>
        </w:r>
        <w:r w:rsidR="00AD5ADC">
          <w:rPr>
            <w:noProof/>
            <w:webHidden/>
          </w:rPr>
        </w:r>
        <w:r w:rsidR="00AD5ADC">
          <w:rPr>
            <w:noProof/>
            <w:webHidden/>
          </w:rPr>
          <w:fldChar w:fldCharType="separate"/>
        </w:r>
        <w:r w:rsidR="00AD5ADC">
          <w:rPr>
            <w:noProof/>
            <w:webHidden/>
          </w:rPr>
          <w:t>11</w:t>
        </w:r>
        <w:r w:rsidR="00AD5ADC">
          <w:rPr>
            <w:noProof/>
            <w:webHidden/>
          </w:rPr>
          <w:fldChar w:fldCharType="end"/>
        </w:r>
      </w:hyperlink>
    </w:p>
    <w:p w14:paraId="324BD7F1" w14:textId="77777777" w:rsidR="00AD5ADC" w:rsidRDefault="00814ED9">
      <w:pPr>
        <w:pStyle w:val="TOC1"/>
        <w:tabs>
          <w:tab w:val="left" w:pos="440"/>
          <w:tab w:val="right" w:leader="dot" w:pos="9016"/>
        </w:tabs>
        <w:rPr>
          <w:rFonts w:asciiTheme="minorHAnsi" w:eastAsiaTheme="minorEastAsia" w:hAnsiTheme="minorHAnsi" w:cstheme="minorBidi"/>
          <w:b w:val="0"/>
          <w:bCs w:val="0"/>
          <w:caps w:val="0"/>
          <w:noProof/>
          <w:szCs w:val="22"/>
          <w:lang w:val="en-NZ" w:eastAsia="en-NZ" w:bidi="ar-SA"/>
        </w:rPr>
      </w:pPr>
      <w:hyperlink w:anchor="_Toc437416154" w:history="1">
        <w:r w:rsidR="00AD5ADC" w:rsidRPr="00190A83">
          <w:rPr>
            <w:rStyle w:val="Hyperlink"/>
            <w:noProof/>
          </w:rPr>
          <w:t>5</w:t>
        </w:r>
        <w:r w:rsidR="00AD5ADC">
          <w:rPr>
            <w:rFonts w:asciiTheme="minorHAnsi" w:eastAsiaTheme="minorEastAsia" w:hAnsiTheme="minorHAnsi" w:cstheme="minorBidi"/>
            <w:b w:val="0"/>
            <w:bCs w:val="0"/>
            <w:caps w:val="0"/>
            <w:noProof/>
            <w:szCs w:val="22"/>
            <w:lang w:val="en-NZ" w:eastAsia="en-NZ" w:bidi="ar-SA"/>
          </w:rPr>
          <w:tab/>
        </w:r>
        <w:r w:rsidR="00AD5ADC" w:rsidRPr="00190A83">
          <w:rPr>
            <w:rStyle w:val="Hyperlink"/>
            <w:noProof/>
          </w:rPr>
          <w:t>References</w:t>
        </w:r>
        <w:r w:rsidR="00AD5ADC">
          <w:rPr>
            <w:noProof/>
            <w:webHidden/>
          </w:rPr>
          <w:tab/>
        </w:r>
        <w:r w:rsidR="00AD5ADC">
          <w:rPr>
            <w:noProof/>
            <w:webHidden/>
          </w:rPr>
          <w:fldChar w:fldCharType="begin"/>
        </w:r>
        <w:r w:rsidR="00AD5ADC">
          <w:rPr>
            <w:noProof/>
            <w:webHidden/>
          </w:rPr>
          <w:instrText xml:space="preserve"> PAGEREF _Toc437416154 \h </w:instrText>
        </w:r>
        <w:r w:rsidR="00AD5ADC">
          <w:rPr>
            <w:noProof/>
            <w:webHidden/>
          </w:rPr>
        </w:r>
        <w:r w:rsidR="00AD5ADC">
          <w:rPr>
            <w:noProof/>
            <w:webHidden/>
          </w:rPr>
          <w:fldChar w:fldCharType="separate"/>
        </w:r>
        <w:r w:rsidR="00AD5ADC">
          <w:rPr>
            <w:noProof/>
            <w:webHidden/>
          </w:rPr>
          <w:t>12</w:t>
        </w:r>
        <w:r w:rsidR="00AD5ADC">
          <w:rPr>
            <w:noProof/>
            <w:webHidden/>
          </w:rPr>
          <w:fldChar w:fldCharType="end"/>
        </w:r>
      </w:hyperlink>
    </w:p>
    <w:p w14:paraId="22A81983" w14:textId="77777777" w:rsidR="00AD5ADC" w:rsidRDefault="00814ED9">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37416155" w:history="1">
        <w:r w:rsidR="00AD5ADC" w:rsidRPr="00190A83">
          <w:rPr>
            <w:rStyle w:val="Hyperlink"/>
            <w:noProof/>
          </w:rPr>
          <w:t>Attachment A – Requirements for per serving information in the Australia and New Zealand Food Standards Code</w:t>
        </w:r>
        <w:r w:rsidR="00AD5ADC">
          <w:rPr>
            <w:noProof/>
            <w:webHidden/>
          </w:rPr>
          <w:tab/>
        </w:r>
        <w:r w:rsidR="00AD5ADC">
          <w:rPr>
            <w:noProof/>
            <w:webHidden/>
          </w:rPr>
          <w:fldChar w:fldCharType="begin"/>
        </w:r>
        <w:r w:rsidR="00AD5ADC">
          <w:rPr>
            <w:noProof/>
            <w:webHidden/>
          </w:rPr>
          <w:instrText xml:space="preserve"> PAGEREF _Toc437416155 \h </w:instrText>
        </w:r>
        <w:r w:rsidR="00AD5ADC">
          <w:rPr>
            <w:noProof/>
            <w:webHidden/>
          </w:rPr>
        </w:r>
        <w:r w:rsidR="00AD5ADC">
          <w:rPr>
            <w:noProof/>
            <w:webHidden/>
          </w:rPr>
          <w:fldChar w:fldCharType="separate"/>
        </w:r>
        <w:r w:rsidR="00AD5ADC">
          <w:rPr>
            <w:noProof/>
            <w:webHidden/>
          </w:rPr>
          <w:t>13</w:t>
        </w:r>
        <w:r w:rsidR="00AD5ADC">
          <w:rPr>
            <w:noProof/>
            <w:webHidden/>
          </w:rPr>
          <w:fldChar w:fldCharType="end"/>
        </w:r>
      </w:hyperlink>
    </w:p>
    <w:p w14:paraId="25E76BB7" w14:textId="77777777" w:rsidR="00AD5ADC" w:rsidRDefault="00814ED9">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37416156" w:history="1">
        <w:r w:rsidR="00AD5ADC" w:rsidRPr="00190A83">
          <w:rPr>
            <w:rStyle w:val="Hyperlink"/>
            <w:noProof/>
          </w:rPr>
          <w:t>Attachment B – Requirements for the declaration of energy and nutrients in nutrition information panels in Australia/New Zealand, Canada, the USA, the EU and from Codex</w:t>
        </w:r>
        <w:r w:rsidR="00AD5ADC">
          <w:rPr>
            <w:noProof/>
            <w:webHidden/>
          </w:rPr>
          <w:tab/>
        </w:r>
        <w:r w:rsidR="00AD5ADC">
          <w:rPr>
            <w:noProof/>
            <w:webHidden/>
          </w:rPr>
          <w:fldChar w:fldCharType="begin"/>
        </w:r>
        <w:r w:rsidR="00AD5ADC">
          <w:rPr>
            <w:noProof/>
            <w:webHidden/>
          </w:rPr>
          <w:instrText xml:space="preserve"> PAGEREF _Toc437416156 \h </w:instrText>
        </w:r>
        <w:r w:rsidR="00AD5ADC">
          <w:rPr>
            <w:noProof/>
            <w:webHidden/>
          </w:rPr>
        </w:r>
        <w:r w:rsidR="00AD5ADC">
          <w:rPr>
            <w:noProof/>
            <w:webHidden/>
          </w:rPr>
          <w:fldChar w:fldCharType="separate"/>
        </w:r>
        <w:r w:rsidR="00AD5ADC">
          <w:rPr>
            <w:noProof/>
            <w:webHidden/>
          </w:rPr>
          <w:t>18</w:t>
        </w:r>
        <w:r w:rsidR="00AD5ADC">
          <w:rPr>
            <w:noProof/>
            <w:webHidden/>
          </w:rPr>
          <w:fldChar w:fldCharType="end"/>
        </w:r>
      </w:hyperlink>
    </w:p>
    <w:p w14:paraId="3A1C1D01" w14:textId="77777777" w:rsidR="00AD5ADC" w:rsidRDefault="00814ED9">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37416157" w:history="1">
        <w:r w:rsidR="00AD5ADC" w:rsidRPr="00190A83">
          <w:rPr>
            <w:rStyle w:val="Hyperlink"/>
            <w:noProof/>
          </w:rPr>
          <w:t>Attachment C – Regulatory requirements for serving sizes in Canada and the USA</w:t>
        </w:r>
        <w:r w:rsidR="00AD5ADC">
          <w:rPr>
            <w:noProof/>
            <w:webHidden/>
          </w:rPr>
          <w:tab/>
        </w:r>
        <w:r w:rsidR="00AD5ADC">
          <w:rPr>
            <w:noProof/>
            <w:webHidden/>
          </w:rPr>
          <w:fldChar w:fldCharType="begin"/>
        </w:r>
        <w:r w:rsidR="00AD5ADC">
          <w:rPr>
            <w:noProof/>
            <w:webHidden/>
          </w:rPr>
          <w:instrText xml:space="preserve"> PAGEREF _Toc437416157 \h </w:instrText>
        </w:r>
        <w:r w:rsidR="00AD5ADC">
          <w:rPr>
            <w:noProof/>
            <w:webHidden/>
          </w:rPr>
        </w:r>
        <w:r w:rsidR="00AD5ADC">
          <w:rPr>
            <w:noProof/>
            <w:webHidden/>
          </w:rPr>
          <w:fldChar w:fldCharType="separate"/>
        </w:r>
        <w:r w:rsidR="00AD5ADC">
          <w:rPr>
            <w:noProof/>
            <w:webHidden/>
          </w:rPr>
          <w:t>20</w:t>
        </w:r>
        <w:r w:rsidR="00AD5ADC">
          <w:rPr>
            <w:noProof/>
            <w:webHidden/>
          </w:rPr>
          <w:fldChar w:fldCharType="end"/>
        </w:r>
      </w:hyperlink>
    </w:p>
    <w:p w14:paraId="63917AD0" w14:textId="77777777" w:rsidR="00AD5ADC" w:rsidRDefault="00814ED9">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37416158" w:history="1">
        <w:r w:rsidR="00AD5ADC" w:rsidRPr="00190A83">
          <w:rPr>
            <w:rStyle w:val="Hyperlink"/>
            <w:noProof/>
          </w:rPr>
          <w:t>Attachment D – Previous FSANZ consideration of per serving information in the NIP</w:t>
        </w:r>
        <w:r w:rsidR="00AD5ADC">
          <w:rPr>
            <w:noProof/>
            <w:webHidden/>
          </w:rPr>
          <w:tab/>
        </w:r>
        <w:r w:rsidR="00AD5ADC">
          <w:rPr>
            <w:noProof/>
            <w:webHidden/>
          </w:rPr>
          <w:fldChar w:fldCharType="begin"/>
        </w:r>
        <w:r w:rsidR="00AD5ADC">
          <w:rPr>
            <w:noProof/>
            <w:webHidden/>
          </w:rPr>
          <w:instrText xml:space="preserve"> PAGEREF _Toc437416158 \h </w:instrText>
        </w:r>
        <w:r w:rsidR="00AD5ADC">
          <w:rPr>
            <w:noProof/>
            <w:webHidden/>
          </w:rPr>
        </w:r>
        <w:r w:rsidR="00AD5ADC">
          <w:rPr>
            <w:noProof/>
            <w:webHidden/>
          </w:rPr>
          <w:fldChar w:fldCharType="separate"/>
        </w:r>
        <w:r w:rsidR="00AD5ADC">
          <w:rPr>
            <w:noProof/>
            <w:webHidden/>
          </w:rPr>
          <w:t>22</w:t>
        </w:r>
        <w:r w:rsidR="00AD5ADC">
          <w:rPr>
            <w:noProof/>
            <w:webHidden/>
          </w:rPr>
          <w:fldChar w:fldCharType="end"/>
        </w:r>
      </w:hyperlink>
    </w:p>
    <w:p w14:paraId="7EC5CECC" w14:textId="77777777" w:rsidR="0012388D" w:rsidRDefault="00221664" w:rsidP="00C91C02">
      <w:r>
        <w:rPr>
          <w:rFonts w:cs="Arial"/>
          <w:smallCaps/>
          <w:sz w:val="28"/>
          <w:szCs w:val="28"/>
        </w:rPr>
        <w:fldChar w:fldCharType="end"/>
      </w:r>
    </w:p>
    <w:p w14:paraId="7EC5CECD" w14:textId="77777777" w:rsidR="007F7BF7" w:rsidRDefault="007F7BF7" w:rsidP="00CA5734"/>
    <w:p w14:paraId="445D47EA" w14:textId="77777777" w:rsidR="00D33323" w:rsidRDefault="00D33323" w:rsidP="009A2699">
      <w:pPr>
        <w:spacing w:line="280" w:lineRule="exact"/>
        <w:ind w:left="851" w:hanging="851"/>
        <w:outlineLvl w:val="3"/>
        <w:sectPr w:rsidR="00D33323" w:rsidSect="005A572E">
          <w:footerReference w:type="default" r:id="rId20"/>
          <w:pgSz w:w="11906" w:h="16838" w:code="9"/>
          <w:pgMar w:top="1440" w:right="1440" w:bottom="1440" w:left="1440" w:header="709" w:footer="709" w:gutter="0"/>
          <w:pgNumType w:start="1"/>
          <w:cols w:space="708"/>
          <w:docGrid w:linePitch="360"/>
        </w:sectPr>
      </w:pPr>
    </w:p>
    <w:p w14:paraId="7EC5CEDA" w14:textId="77777777" w:rsidR="00AF397D" w:rsidRPr="00AF397D" w:rsidRDefault="007523AC" w:rsidP="00AF397D">
      <w:pPr>
        <w:pStyle w:val="Heading1"/>
      </w:pPr>
      <w:bookmarkStart w:id="3" w:name="_Toc437416144"/>
      <w:bookmarkStart w:id="4" w:name="_Toc11735627"/>
      <w:bookmarkStart w:id="5" w:name="_Toc29883110"/>
      <w:bookmarkStart w:id="6" w:name="_Toc41906797"/>
      <w:bookmarkStart w:id="7" w:name="_Toc41907544"/>
      <w:bookmarkStart w:id="8" w:name="_Toc120358575"/>
      <w:r>
        <w:lastRenderedPageBreak/>
        <w:t>1</w:t>
      </w:r>
      <w:r w:rsidR="00AC428E" w:rsidRPr="00AF397D">
        <w:tab/>
      </w:r>
      <w:r w:rsidR="00AF397D" w:rsidRPr="00AF397D">
        <w:t>Introduction</w:t>
      </w:r>
      <w:bookmarkEnd w:id="3"/>
    </w:p>
    <w:p w14:paraId="7EC5CEDB" w14:textId="7D343F5A" w:rsidR="00AF397D" w:rsidRPr="00E16318" w:rsidRDefault="007523AC" w:rsidP="00DF38B0">
      <w:pPr>
        <w:pStyle w:val="Heading2"/>
      </w:pPr>
      <w:bookmarkStart w:id="9" w:name="_Toc437416145"/>
      <w:r>
        <w:t>1</w:t>
      </w:r>
      <w:r w:rsidR="00AF397D" w:rsidRPr="00DF38B0">
        <w:t>.</w:t>
      </w:r>
      <w:r w:rsidR="00DF38B0" w:rsidRPr="00DF38B0">
        <w:t>1</w:t>
      </w:r>
      <w:r w:rsidR="00AF397D">
        <w:tab/>
      </w:r>
      <w:r>
        <w:t xml:space="preserve">Background to </w:t>
      </w:r>
      <w:r w:rsidRPr="008C592C">
        <w:t xml:space="preserve">Recommendation </w:t>
      </w:r>
      <w:r>
        <w:t xml:space="preserve">17 </w:t>
      </w:r>
      <w:r w:rsidR="00C27DA8">
        <w:t xml:space="preserve">– </w:t>
      </w:r>
      <w:r w:rsidRPr="007523AC" w:rsidDel="00C27DA8">
        <w:t>P</w:t>
      </w:r>
      <w:r w:rsidRPr="007523AC">
        <w:t>er serving declarations in the nutrition information panel</w:t>
      </w:r>
      <w:bookmarkEnd w:id="9"/>
    </w:p>
    <w:p w14:paraId="7EC5CEDC" w14:textId="7641B674" w:rsidR="007523AC" w:rsidRDefault="007523AC" w:rsidP="007523AC">
      <w:pPr>
        <w:autoSpaceDE w:val="0"/>
        <w:autoSpaceDN w:val="0"/>
        <w:adjustRightInd w:val="0"/>
        <w:rPr>
          <w:rFonts w:cs="Arial"/>
          <w:bCs/>
        </w:rPr>
      </w:pPr>
      <w:r w:rsidRPr="00E11E6E">
        <w:rPr>
          <w:rFonts w:cs="Arial"/>
          <w:bCs/>
        </w:rPr>
        <w:t xml:space="preserve">In 2009, </w:t>
      </w:r>
      <w:r>
        <w:rPr>
          <w:rFonts w:cs="Arial"/>
          <w:bCs/>
        </w:rPr>
        <w:t xml:space="preserve">the then </w:t>
      </w:r>
      <w:r w:rsidRPr="00E11E6E">
        <w:rPr>
          <w:rFonts w:cs="Arial"/>
          <w:bCs/>
        </w:rPr>
        <w:t xml:space="preserve">Australia and New Zealand </w:t>
      </w:r>
      <w:r>
        <w:rPr>
          <w:rFonts w:cs="Arial"/>
          <w:bCs/>
        </w:rPr>
        <w:t>Ministeri</w:t>
      </w:r>
      <w:r w:rsidR="00A56100">
        <w:rPr>
          <w:rFonts w:cs="Arial"/>
          <w:bCs/>
        </w:rPr>
        <w:t xml:space="preserve">al Council for Food Regulation </w:t>
      </w:r>
      <w:r>
        <w:rPr>
          <w:rFonts w:cs="Arial"/>
          <w:bCs/>
        </w:rPr>
        <w:t xml:space="preserve">(now known as the </w:t>
      </w:r>
      <w:r w:rsidRPr="00E11E6E">
        <w:rPr>
          <w:rFonts w:cs="Arial"/>
          <w:bCs/>
        </w:rPr>
        <w:t xml:space="preserve">Australia and New Zealand </w:t>
      </w:r>
      <w:r>
        <w:rPr>
          <w:rFonts w:cs="Arial"/>
          <w:bCs/>
        </w:rPr>
        <w:t xml:space="preserve">Ministerial </w:t>
      </w:r>
      <w:r w:rsidRPr="002C3DF8">
        <w:rPr>
          <w:rFonts w:cs="Arial"/>
          <w:bCs/>
        </w:rPr>
        <w:t>Forum on Food Regulation</w:t>
      </w:r>
      <w:r>
        <w:rPr>
          <w:rFonts w:cs="Arial"/>
          <w:bCs/>
        </w:rPr>
        <w:t xml:space="preserve"> (Forum))</w:t>
      </w:r>
      <w:r w:rsidRPr="00E11E6E">
        <w:rPr>
          <w:rFonts w:cs="Arial"/>
          <w:bCs/>
        </w:rPr>
        <w:t xml:space="preserve"> agreed to a comprehensive independent review of food labelling law and policy. An expert panel, chaired by Dr Neal Blewett, AC, undertook the review and the panel’s final report, </w:t>
      </w:r>
      <w:r w:rsidRPr="00B7149D">
        <w:rPr>
          <w:i/>
          <w:lang w:val="en-AU"/>
        </w:rPr>
        <w:t>Labelling Logic</w:t>
      </w:r>
      <w:r>
        <w:rPr>
          <w:i/>
          <w:lang w:val="en-AU"/>
        </w:rPr>
        <w:t xml:space="preserve">: Review of Food Labelling Law and Policy (2011) </w:t>
      </w:r>
      <w:r w:rsidRPr="008B36A1">
        <w:rPr>
          <w:lang w:val="en-AU"/>
        </w:rPr>
        <w:t>(</w:t>
      </w:r>
      <w:r w:rsidRPr="008B36A1">
        <w:t>Labelling Logic</w:t>
      </w:r>
      <w:r>
        <w:t xml:space="preserve">) </w:t>
      </w:r>
      <w:r>
        <w:rPr>
          <w:lang w:val="en-AU"/>
        </w:rPr>
        <w:t xml:space="preserve">(Blewett et al. 2011), </w:t>
      </w:r>
      <w:r w:rsidRPr="00E11E6E">
        <w:rPr>
          <w:rFonts w:cs="Arial"/>
          <w:bCs/>
        </w:rPr>
        <w:t>was publicly released on 28 January 2011.</w:t>
      </w:r>
      <w:r>
        <w:rPr>
          <w:rFonts w:cs="Arial"/>
          <w:bCs/>
        </w:rPr>
        <w:t xml:space="preserve"> </w:t>
      </w:r>
    </w:p>
    <w:p w14:paraId="7EC5CEDD" w14:textId="77777777" w:rsidR="007523AC" w:rsidRDefault="007523AC" w:rsidP="007523AC">
      <w:pPr>
        <w:rPr>
          <w:rFonts w:cs="Arial"/>
          <w:bCs/>
          <w:szCs w:val="22"/>
        </w:rPr>
      </w:pPr>
    </w:p>
    <w:p w14:paraId="7EC5CEDE" w14:textId="73437C7D" w:rsidR="00CA1557" w:rsidRDefault="007523AC" w:rsidP="007523AC">
      <w:pPr>
        <w:rPr>
          <w:i/>
        </w:rPr>
      </w:pPr>
      <w:r>
        <w:rPr>
          <w:rFonts w:cs="Arial"/>
          <w:bCs/>
          <w:szCs w:val="22"/>
        </w:rPr>
        <w:t xml:space="preserve">Recommendation 17 from </w:t>
      </w:r>
      <w:r w:rsidRPr="007523AC">
        <w:t>Labelling Logic</w:t>
      </w:r>
      <w:r>
        <w:t xml:space="preserve"> states: </w:t>
      </w:r>
      <w:r>
        <w:rPr>
          <w:i/>
        </w:rPr>
        <w:t>That the declaration in the nutrition information p</w:t>
      </w:r>
      <w:r w:rsidRPr="00834441">
        <w:rPr>
          <w:i/>
        </w:rPr>
        <w:t>anel of amount of nutrients per serve be no longer mandatory unless a daily intake claim is made.</w:t>
      </w:r>
    </w:p>
    <w:p w14:paraId="7EC5CEDF" w14:textId="77777777" w:rsidR="00CA1557" w:rsidRDefault="00CA1557" w:rsidP="007523AC">
      <w:pPr>
        <w:rPr>
          <w:i/>
        </w:rPr>
      </w:pPr>
    </w:p>
    <w:p w14:paraId="492323EE" w14:textId="4C3DC418" w:rsidR="00002BAF" w:rsidRDefault="00CA1557" w:rsidP="007523AC">
      <w:pPr>
        <w:rPr>
          <w:rFonts w:cs="Arial"/>
          <w:bCs/>
        </w:rPr>
      </w:pPr>
      <w:r>
        <w:t>The labelling review panel</w:t>
      </w:r>
      <w:r>
        <w:rPr>
          <w:rFonts w:cs="Arial"/>
          <w:bCs/>
        </w:rPr>
        <w:t xml:space="preserve"> noted that consumers find the declaration of nutrients per serving and percentage daily intake values confusing. The panel also commented that</w:t>
      </w:r>
      <w:r w:rsidR="00BD34DE">
        <w:rPr>
          <w:rFonts w:cs="Arial"/>
          <w:bCs/>
        </w:rPr>
        <w:t>,</w:t>
      </w:r>
      <w:r>
        <w:rPr>
          <w:rFonts w:cs="Arial"/>
          <w:bCs/>
        </w:rPr>
        <w:t xml:space="preserve"> in Australia and New Zealand</w:t>
      </w:r>
      <w:r w:rsidR="00BD34DE">
        <w:rPr>
          <w:rFonts w:cs="Arial"/>
          <w:bCs/>
        </w:rPr>
        <w:t>,</w:t>
      </w:r>
      <w:r>
        <w:rPr>
          <w:rFonts w:cs="Arial"/>
          <w:bCs/>
        </w:rPr>
        <w:t xml:space="preserve"> serving sizes are determined by the manufacturer</w:t>
      </w:r>
      <w:r w:rsidR="00002BAF">
        <w:rPr>
          <w:rFonts w:cs="Arial"/>
          <w:bCs/>
        </w:rPr>
        <w:t>,</w:t>
      </w:r>
      <w:r>
        <w:rPr>
          <w:rFonts w:cs="Arial"/>
          <w:bCs/>
        </w:rPr>
        <w:t xml:space="preserve"> but are mandated in the United States of America (USA). However, the panel noted that there is little indication that per serving information when based on standard serving sizes is helpful in guiding consumer food intakes (Cowburn and Stockley 2005). </w:t>
      </w:r>
    </w:p>
    <w:p w14:paraId="28539AF1" w14:textId="77777777" w:rsidR="00002BAF" w:rsidRDefault="00002BAF" w:rsidP="007523AC">
      <w:pPr>
        <w:rPr>
          <w:rFonts w:cs="Arial"/>
          <w:bCs/>
        </w:rPr>
      </w:pPr>
    </w:p>
    <w:p w14:paraId="7EC5CEE0" w14:textId="35FFAD47" w:rsidR="00CA1557" w:rsidRPr="00CA1557" w:rsidRDefault="00CA1557" w:rsidP="007523AC">
      <w:pPr>
        <w:rPr>
          <w:rFonts w:cs="Arial"/>
          <w:bCs/>
        </w:rPr>
      </w:pPr>
      <w:r>
        <w:rPr>
          <w:rFonts w:cs="Arial"/>
          <w:bCs/>
        </w:rPr>
        <w:t>The panel considered that a simpler approach would be to declare amounts of nutrients per 100 g/100 mL in the nutrition information panel (NIP) (while retaining a statement of serving size)</w:t>
      </w:r>
      <w:r w:rsidR="00F67D74">
        <w:rPr>
          <w:rFonts w:cs="Arial"/>
          <w:bCs/>
        </w:rPr>
        <w:t>.</w:t>
      </w:r>
      <w:r>
        <w:rPr>
          <w:rFonts w:cs="Arial"/>
          <w:bCs/>
        </w:rPr>
        <w:t xml:space="preserve"> </w:t>
      </w:r>
      <w:r w:rsidR="00F67D74">
        <w:rPr>
          <w:rFonts w:cs="Arial"/>
          <w:bCs/>
        </w:rPr>
        <w:t>However,</w:t>
      </w:r>
      <w:r>
        <w:rPr>
          <w:rFonts w:cs="Arial"/>
          <w:bCs/>
        </w:rPr>
        <w:t xml:space="preserve"> </w:t>
      </w:r>
      <w:r w:rsidR="00F67D74">
        <w:rPr>
          <w:rFonts w:cs="Arial"/>
          <w:bCs/>
        </w:rPr>
        <w:t>the panel</w:t>
      </w:r>
      <w:r>
        <w:rPr>
          <w:rFonts w:cs="Arial"/>
          <w:bCs/>
        </w:rPr>
        <w:t xml:space="preserve"> acknowledged </w:t>
      </w:r>
      <w:r w:rsidR="00002BAF">
        <w:rPr>
          <w:rFonts w:cs="Arial"/>
          <w:bCs/>
        </w:rPr>
        <w:t xml:space="preserve">that </w:t>
      </w:r>
      <w:r>
        <w:rPr>
          <w:rFonts w:cs="Arial"/>
          <w:bCs/>
        </w:rPr>
        <w:t xml:space="preserve">such an approach would require greater numeracy skills and so should be considered in the context of other, more easily understood nutrition advice being on the food label. It is not clear what the panel had in mind when making this comment, but it is </w:t>
      </w:r>
      <w:r w:rsidR="00F67D74">
        <w:rPr>
          <w:rFonts w:cs="Arial"/>
          <w:bCs/>
        </w:rPr>
        <w:t xml:space="preserve">assumed </w:t>
      </w:r>
      <w:r>
        <w:rPr>
          <w:rFonts w:cs="Arial"/>
          <w:bCs/>
        </w:rPr>
        <w:t>that this statement was made in the context of possible forthcoming front-of-pack labelling (FoPL) as recommended by the panel (Recommendations 50–55).</w:t>
      </w:r>
    </w:p>
    <w:p w14:paraId="7EC5CEE1" w14:textId="60FEB122" w:rsidR="00CA1557" w:rsidRDefault="00CA1557" w:rsidP="00CA1557">
      <w:pPr>
        <w:pStyle w:val="Heading2"/>
      </w:pPr>
      <w:bookmarkStart w:id="10" w:name="_Toc378157297"/>
      <w:bookmarkStart w:id="11" w:name="_Toc400626790"/>
      <w:bookmarkStart w:id="12" w:name="_Toc437416146"/>
      <w:r>
        <w:t>1</w:t>
      </w:r>
      <w:r w:rsidRPr="008C592C">
        <w:t>.</w:t>
      </w:r>
      <w:r>
        <w:t>2</w:t>
      </w:r>
      <w:r w:rsidRPr="008C592C">
        <w:tab/>
      </w:r>
      <w:r>
        <w:t xml:space="preserve">Government response to </w:t>
      </w:r>
      <w:r w:rsidR="00002BAF">
        <w:t>R</w:t>
      </w:r>
      <w:r w:rsidRPr="008C592C">
        <w:t xml:space="preserve">ecommendation </w:t>
      </w:r>
      <w:r>
        <w:t>1</w:t>
      </w:r>
      <w:bookmarkEnd w:id="10"/>
      <w:bookmarkEnd w:id="11"/>
      <w:r>
        <w:t>7</w:t>
      </w:r>
      <w:bookmarkEnd w:id="12"/>
    </w:p>
    <w:p w14:paraId="7EC5CEE2" w14:textId="5037BABA" w:rsidR="00CA1557" w:rsidRDefault="00CA1557" w:rsidP="00CA1557">
      <w:pPr>
        <w:rPr>
          <w:rFonts w:cs="Arial"/>
          <w:bCs/>
        </w:rPr>
      </w:pPr>
      <w:bookmarkStart w:id="13" w:name="_Toc300761892"/>
      <w:bookmarkStart w:id="14" w:name="_Toc300933421"/>
      <w:r>
        <w:rPr>
          <w:rFonts w:cs="Arial"/>
          <w:bCs/>
        </w:rPr>
        <w:t xml:space="preserve">The Government response to the recommendations in </w:t>
      </w:r>
      <w:r w:rsidRPr="00CA1557">
        <w:rPr>
          <w:rFonts w:cs="Arial"/>
          <w:bCs/>
        </w:rPr>
        <w:t>Labelling Logic</w:t>
      </w:r>
      <w:r>
        <w:rPr>
          <w:rFonts w:cs="Arial"/>
          <w:bCs/>
        </w:rPr>
        <w:t xml:space="preserve"> was publicly released in December 2011</w:t>
      </w:r>
      <w:r>
        <w:rPr>
          <w:rStyle w:val="FootnoteReference"/>
          <w:rFonts w:cs="Arial"/>
          <w:bCs/>
        </w:rPr>
        <w:footnoteReference w:id="2"/>
      </w:r>
      <w:r>
        <w:rPr>
          <w:rFonts w:cs="Arial"/>
          <w:bCs/>
        </w:rPr>
        <w:t>. In relation to Recommendation 17, the Forum acknowledged that food labels are a finite space for providing information to consumers and that the recommendation to remove per serving information aims to simplify requirements for the mandatory NIP and reduce the regulatory burden on industry.</w:t>
      </w:r>
    </w:p>
    <w:p w14:paraId="7EC5CEE3" w14:textId="77777777" w:rsidR="00CA1557" w:rsidRDefault="00CA1557" w:rsidP="00CA1557">
      <w:pPr>
        <w:rPr>
          <w:rFonts w:cs="Arial"/>
          <w:bCs/>
        </w:rPr>
      </w:pPr>
    </w:p>
    <w:p w14:paraId="2AA96DB1" w14:textId="1BC74482" w:rsidR="00A56100" w:rsidRDefault="00CA1557" w:rsidP="00CA1557">
      <w:pPr>
        <w:rPr>
          <w:rFonts w:cs="Arial"/>
          <w:bCs/>
        </w:rPr>
      </w:pPr>
      <w:r>
        <w:rPr>
          <w:rFonts w:cs="Arial"/>
          <w:bCs/>
        </w:rPr>
        <w:t xml:space="preserve">The Forum </w:t>
      </w:r>
      <w:r w:rsidRPr="00834441">
        <w:rPr>
          <w:rFonts w:cs="Arial"/>
          <w:bCs/>
        </w:rPr>
        <w:t xml:space="preserve">asked FSANZ to </w:t>
      </w:r>
      <w:r>
        <w:rPr>
          <w:rFonts w:cs="Arial"/>
          <w:bCs/>
        </w:rPr>
        <w:t>prepare</w:t>
      </w:r>
      <w:r w:rsidRPr="00834441">
        <w:rPr>
          <w:rFonts w:cs="Arial"/>
          <w:bCs/>
        </w:rPr>
        <w:t xml:space="preserve"> a proposal to provide assessment and advice on this proposed change to the labelling requirements for the </w:t>
      </w:r>
      <w:r>
        <w:rPr>
          <w:rFonts w:cs="Arial"/>
          <w:bCs/>
        </w:rPr>
        <w:t>NIP</w:t>
      </w:r>
      <w:r w:rsidRPr="00834441">
        <w:rPr>
          <w:rFonts w:cs="Arial"/>
          <w:bCs/>
        </w:rPr>
        <w:t>. The Forum noted that all proposed changes to the</w:t>
      </w:r>
      <w:r>
        <w:rPr>
          <w:rFonts w:cs="Arial"/>
          <w:bCs/>
        </w:rPr>
        <w:t xml:space="preserve"> </w:t>
      </w:r>
      <w:r w:rsidRPr="001F0C9A">
        <w:rPr>
          <w:rFonts w:cs="Arial"/>
          <w:bCs/>
          <w:i/>
        </w:rPr>
        <w:t xml:space="preserve">Australia New Zealand Food Standards Code </w:t>
      </w:r>
      <w:r w:rsidRPr="001F0C9A">
        <w:rPr>
          <w:rFonts w:cs="Arial"/>
          <w:bCs/>
        </w:rPr>
        <w:t>(Code</w:t>
      </w:r>
      <w:r>
        <w:rPr>
          <w:rFonts w:cs="Arial"/>
          <w:bCs/>
        </w:rPr>
        <w:t>)</w:t>
      </w:r>
      <w:r w:rsidRPr="001F0C9A">
        <w:rPr>
          <w:rFonts w:cs="Arial"/>
          <w:bCs/>
        </w:rPr>
        <w:t xml:space="preserve"> </w:t>
      </w:r>
      <w:r w:rsidRPr="00834441">
        <w:rPr>
          <w:rFonts w:cs="Arial"/>
          <w:bCs/>
        </w:rPr>
        <w:t>are required to adhere to an agreed process and be assessed by FSANZ.</w:t>
      </w:r>
      <w:bookmarkEnd w:id="13"/>
      <w:bookmarkEnd w:id="14"/>
    </w:p>
    <w:p w14:paraId="1A9B76F7" w14:textId="77777777" w:rsidR="00EE78BF" w:rsidRDefault="00EE78BF">
      <w:pPr>
        <w:widowControl/>
        <w:rPr>
          <w:b/>
          <w:bCs/>
          <w:sz w:val="36"/>
          <w:szCs w:val="28"/>
          <w:lang w:bidi="ar-SA"/>
        </w:rPr>
      </w:pPr>
      <w:r>
        <w:br w:type="page"/>
      </w:r>
    </w:p>
    <w:p w14:paraId="466AC262" w14:textId="31AB7B07" w:rsidR="00A56100" w:rsidRPr="00023027" w:rsidRDefault="00A56100" w:rsidP="00023027">
      <w:pPr>
        <w:pStyle w:val="Heading1"/>
      </w:pPr>
      <w:bookmarkStart w:id="15" w:name="_Toc437416147"/>
      <w:r>
        <w:lastRenderedPageBreak/>
        <w:t>2</w:t>
      </w:r>
      <w:r w:rsidRPr="00AF397D">
        <w:tab/>
      </w:r>
      <w:r>
        <w:t>Project objectives and approach</w:t>
      </w:r>
      <w:bookmarkEnd w:id="15"/>
    </w:p>
    <w:p w14:paraId="2CCF2BF5" w14:textId="77777777" w:rsidR="00BD58C1" w:rsidRDefault="00A56100" w:rsidP="00A56100">
      <w:pPr>
        <w:spacing w:after="60"/>
        <w:rPr>
          <w:szCs w:val="22"/>
        </w:rPr>
      </w:pPr>
      <w:r>
        <w:rPr>
          <w:szCs w:val="22"/>
        </w:rPr>
        <w:t xml:space="preserve">The Forum asked </w:t>
      </w:r>
      <w:r w:rsidRPr="00FA021C">
        <w:rPr>
          <w:rFonts w:cs="Arial"/>
          <w:bCs/>
        </w:rPr>
        <w:t xml:space="preserve">FSANZ to </w:t>
      </w:r>
      <w:r>
        <w:rPr>
          <w:rFonts w:cs="Arial"/>
          <w:bCs/>
        </w:rPr>
        <w:t xml:space="preserve">prepare a proposal to </w:t>
      </w:r>
      <w:r w:rsidRPr="004038E1">
        <w:rPr>
          <w:rStyle w:val="ms-rtefontsize-21"/>
          <w:rFonts w:cs="Arial"/>
          <w:i/>
          <w:sz w:val="22"/>
          <w:szCs w:val="22"/>
        </w:rPr>
        <w:t>provide assessment and advice.</w:t>
      </w:r>
      <w:r w:rsidRPr="004038E1">
        <w:rPr>
          <w:rStyle w:val="ms-rtefontsize-21"/>
          <w:rFonts w:cs="Arial"/>
          <w:szCs w:val="22"/>
        </w:rPr>
        <w:t xml:space="preserve"> </w:t>
      </w:r>
      <w:r w:rsidRPr="004038E1">
        <w:rPr>
          <w:rStyle w:val="ms-rtefontsize-21"/>
          <w:rFonts w:cs="Arial"/>
          <w:sz w:val="22"/>
          <w:szCs w:val="22"/>
        </w:rPr>
        <w:t>However</w:t>
      </w:r>
      <w:r w:rsidRPr="004038E1">
        <w:rPr>
          <w:rFonts w:cs="Arial"/>
          <w:bCs/>
          <w:szCs w:val="22"/>
        </w:rPr>
        <w:t xml:space="preserve">, </w:t>
      </w:r>
      <w:r>
        <w:rPr>
          <w:szCs w:val="22"/>
        </w:rPr>
        <w:t>a</w:t>
      </w:r>
      <w:r w:rsidRPr="004038E1">
        <w:rPr>
          <w:szCs w:val="22"/>
        </w:rPr>
        <w:t xml:space="preserve"> proposal is a statutory process</w:t>
      </w:r>
      <w:r w:rsidR="00AC714D">
        <w:rPr>
          <w:szCs w:val="22"/>
        </w:rPr>
        <w:t xml:space="preserve"> undertaken when a change to the Code is proposed. </w:t>
      </w:r>
    </w:p>
    <w:p w14:paraId="27650D4E" w14:textId="622C4A69" w:rsidR="00BD34DE" w:rsidRDefault="00BD34DE" w:rsidP="00A56100">
      <w:pPr>
        <w:spacing w:after="60"/>
        <w:rPr>
          <w:szCs w:val="22"/>
        </w:rPr>
      </w:pPr>
    </w:p>
    <w:p w14:paraId="65E51C2D" w14:textId="2C275FFF" w:rsidR="00A56100" w:rsidRDefault="004D381A" w:rsidP="00A56100">
      <w:pPr>
        <w:rPr>
          <w:szCs w:val="22"/>
        </w:rPr>
      </w:pPr>
      <w:r>
        <w:rPr>
          <w:szCs w:val="22"/>
        </w:rPr>
        <w:t>FSANZ therefore considered it appropriate to, as a first step, undertake a preliminary analysis of relevant issues associated with Recommendation 17.</w:t>
      </w:r>
    </w:p>
    <w:p w14:paraId="7034943A" w14:textId="77777777" w:rsidR="004D381A" w:rsidRDefault="004D381A" w:rsidP="00A56100">
      <w:pPr>
        <w:rPr>
          <w:lang w:bidi="ar-SA"/>
        </w:rPr>
      </w:pPr>
    </w:p>
    <w:p w14:paraId="64EF4FFF" w14:textId="53D37898" w:rsidR="00A56100" w:rsidRDefault="009C2421" w:rsidP="00A56100">
      <w:pPr>
        <w:rPr>
          <w:lang w:bidi="ar-SA"/>
        </w:rPr>
      </w:pPr>
      <w:r>
        <w:rPr>
          <w:lang w:bidi="ar-SA"/>
        </w:rPr>
        <w:t>FSANZ has</w:t>
      </w:r>
      <w:r w:rsidR="004D381A">
        <w:rPr>
          <w:lang w:bidi="ar-SA"/>
        </w:rPr>
        <w:t>:</w:t>
      </w:r>
    </w:p>
    <w:p w14:paraId="4BDCC68C" w14:textId="6E9FF8CA" w:rsidR="00A56100" w:rsidRPr="00D82648" w:rsidRDefault="00023027" w:rsidP="002119B3">
      <w:pPr>
        <w:pStyle w:val="FSBullet1"/>
        <w:numPr>
          <w:ilvl w:val="0"/>
          <w:numId w:val="6"/>
        </w:numPr>
        <w:ind w:left="567" w:hanging="567"/>
        <w:rPr>
          <w:rStyle w:val="ms-rtefontsize-21"/>
          <w:rFonts w:cs="Times New Roman"/>
          <w:sz w:val="22"/>
          <w:szCs w:val="22"/>
        </w:rPr>
      </w:pPr>
      <w:r>
        <w:rPr>
          <w:rStyle w:val="ms-rtefontsize-21"/>
          <w:sz w:val="22"/>
          <w:szCs w:val="22"/>
        </w:rPr>
        <w:t xml:space="preserve">undertaken </w:t>
      </w:r>
      <w:r w:rsidR="00C85D0D">
        <w:rPr>
          <w:rStyle w:val="ms-rtefontsize-21"/>
          <w:sz w:val="22"/>
          <w:szCs w:val="22"/>
        </w:rPr>
        <w:t>public</w:t>
      </w:r>
      <w:r w:rsidR="00A56100">
        <w:rPr>
          <w:rStyle w:val="ms-rtefontsize-21"/>
          <w:sz w:val="22"/>
          <w:szCs w:val="22"/>
        </w:rPr>
        <w:t xml:space="preserve"> consultation on the use of per serving information and views on the proposed</w:t>
      </w:r>
      <w:r w:rsidR="00A56100" w:rsidRPr="0031283F">
        <w:rPr>
          <w:szCs w:val="22"/>
        </w:rPr>
        <w:t xml:space="preserve"> </w:t>
      </w:r>
      <w:r w:rsidR="00A56100">
        <w:rPr>
          <w:szCs w:val="22"/>
        </w:rPr>
        <w:t>removal of the mandatory requirement for per serving nutri</w:t>
      </w:r>
      <w:r w:rsidR="00915BFD">
        <w:rPr>
          <w:szCs w:val="22"/>
        </w:rPr>
        <w:t>ent and energy declarations in</w:t>
      </w:r>
      <w:r w:rsidR="00A56100">
        <w:rPr>
          <w:szCs w:val="22"/>
        </w:rPr>
        <w:t xml:space="preserve"> the NIP</w:t>
      </w:r>
    </w:p>
    <w:p w14:paraId="6FB9CBB0" w14:textId="71757BF5" w:rsidR="00A56100" w:rsidRPr="00D82648" w:rsidRDefault="00023027" w:rsidP="002119B3">
      <w:pPr>
        <w:pStyle w:val="FSBullet1"/>
        <w:numPr>
          <w:ilvl w:val="0"/>
          <w:numId w:val="6"/>
        </w:numPr>
        <w:ind w:left="567" w:hanging="567"/>
        <w:rPr>
          <w:rStyle w:val="ms-rtefontsize-21"/>
          <w:rFonts w:cs="Times New Roman"/>
          <w:sz w:val="22"/>
          <w:szCs w:val="22"/>
        </w:rPr>
      </w:pPr>
      <w:r>
        <w:rPr>
          <w:rStyle w:val="ms-rtefontsize-21"/>
          <w:sz w:val="22"/>
          <w:szCs w:val="22"/>
        </w:rPr>
        <w:t>compared</w:t>
      </w:r>
      <w:r w:rsidR="00A56100">
        <w:rPr>
          <w:rStyle w:val="ms-rtefontsize-21"/>
          <w:sz w:val="22"/>
          <w:szCs w:val="22"/>
        </w:rPr>
        <w:t xml:space="preserve"> current provisions in the Code for the presentation of nutrition information with that used in the USA, Canada and the EU</w:t>
      </w:r>
      <w:r w:rsidR="00CF3D12">
        <w:rPr>
          <w:rStyle w:val="ms-rtefontsize-21"/>
          <w:sz w:val="22"/>
          <w:szCs w:val="22"/>
        </w:rPr>
        <w:t xml:space="preserve"> and with guidelines provided by the Codex Alimentarius Commission (Codex)</w:t>
      </w:r>
    </w:p>
    <w:p w14:paraId="26FB354C" w14:textId="18EFDDD9" w:rsidR="00A56100" w:rsidRPr="00A56100" w:rsidRDefault="00023027" w:rsidP="002119B3">
      <w:pPr>
        <w:pStyle w:val="FSBullet1"/>
        <w:numPr>
          <w:ilvl w:val="0"/>
          <w:numId w:val="6"/>
        </w:numPr>
        <w:ind w:left="567" w:hanging="567"/>
        <w:rPr>
          <w:rFonts w:cs="Times New Roman"/>
          <w:szCs w:val="22"/>
        </w:rPr>
      </w:pPr>
      <w:r>
        <w:rPr>
          <w:rStyle w:val="ms-rtefontsize-21"/>
          <w:sz w:val="22"/>
          <w:szCs w:val="22"/>
        </w:rPr>
        <w:t xml:space="preserve">considered </w:t>
      </w:r>
      <w:r w:rsidR="009C2421">
        <w:rPr>
          <w:rStyle w:val="ms-rtefontsize-21"/>
          <w:sz w:val="22"/>
          <w:szCs w:val="22"/>
        </w:rPr>
        <w:t>the</w:t>
      </w:r>
      <w:r w:rsidR="00A56100" w:rsidRPr="00267883">
        <w:rPr>
          <w:rStyle w:val="ms-rtefontsize-21"/>
          <w:sz w:val="22"/>
          <w:szCs w:val="22"/>
        </w:rPr>
        <w:t xml:space="preserve"> technical consequences of removing </w:t>
      </w:r>
      <w:r w:rsidR="00A56100">
        <w:rPr>
          <w:rStyle w:val="ms-rtefontsize-21"/>
          <w:sz w:val="22"/>
          <w:szCs w:val="22"/>
        </w:rPr>
        <w:t xml:space="preserve">the mandatory requirement for </w:t>
      </w:r>
      <w:r w:rsidR="00A56100" w:rsidRPr="00267883">
        <w:rPr>
          <w:rStyle w:val="ms-rtefontsize-21"/>
          <w:sz w:val="22"/>
          <w:szCs w:val="22"/>
        </w:rPr>
        <w:t xml:space="preserve">per serving information on </w:t>
      </w:r>
      <w:r w:rsidR="00A56100">
        <w:rPr>
          <w:rStyle w:val="ms-rtefontsize-21"/>
          <w:sz w:val="22"/>
          <w:szCs w:val="22"/>
        </w:rPr>
        <w:t xml:space="preserve">other </w:t>
      </w:r>
      <w:r w:rsidR="00A56100" w:rsidRPr="00267883">
        <w:rPr>
          <w:rStyle w:val="ms-rtefontsize-21"/>
          <w:sz w:val="22"/>
          <w:szCs w:val="22"/>
        </w:rPr>
        <w:t xml:space="preserve">requirements in the Code and other labelling information such as voluntary </w:t>
      </w:r>
      <w:r w:rsidR="009C2421">
        <w:rPr>
          <w:rStyle w:val="ms-rtefontsize-21"/>
          <w:sz w:val="22"/>
          <w:szCs w:val="22"/>
        </w:rPr>
        <w:t>FoPL</w:t>
      </w:r>
      <w:r w:rsidR="00A56100" w:rsidRPr="00A56100">
        <w:rPr>
          <w:szCs w:val="22"/>
        </w:rPr>
        <w:t>.</w:t>
      </w:r>
    </w:p>
    <w:p w14:paraId="0E38796E" w14:textId="77777777" w:rsidR="00A56100" w:rsidRDefault="00A56100" w:rsidP="00A56100">
      <w:pPr>
        <w:rPr>
          <w:rFonts w:cs="Arial"/>
          <w:bCs/>
        </w:rPr>
      </w:pPr>
    </w:p>
    <w:p w14:paraId="27973C1E" w14:textId="791C67E4" w:rsidR="00A56100" w:rsidRDefault="00A56100" w:rsidP="00A56100">
      <w:pPr>
        <w:rPr>
          <w:rFonts w:cs="Arial"/>
          <w:snapToGrid w:val="0"/>
          <w:szCs w:val="22"/>
        </w:rPr>
      </w:pPr>
      <w:r>
        <w:rPr>
          <w:rFonts w:cs="Arial"/>
          <w:bCs/>
        </w:rPr>
        <w:t xml:space="preserve">FSANZ </w:t>
      </w:r>
      <w:r w:rsidR="00B80110">
        <w:rPr>
          <w:rFonts w:cs="Arial"/>
          <w:snapToGrid w:val="0"/>
          <w:szCs w:val="22"/>
        </w:rPr>
        <w:t>understands that the intent</w:t>
      </w:r>
      <w:r>
        <w:rPr>
          <w:rFonts w:cs="Arial"/>
          <w:snapToGrid w:val="0"/>
          <w:szCs w:val="22"/>
        </w:rPr>
        <w:t xml:space="preserve"> of Recommendation 17 </w:t>
      </w:r>
      <w:r w:rsidR="00C27DA8">
        <w:rPr>
          <w:rFonts w:cs="Arial"/>
          <w:snapToGrid w:val="0"/>
          <w:szCs w:val="22"/>
        </w:rPr>
        <w:t>wa</w:t>
      </w:r>
      <w:r>
        <w:rPr>
          <w:rFonts w:cs="Arial"/>
          <w:snapToGrid w:val="0"/>
          <w:szCs w:val="22"/>
        </w:rPr>
        <w:t xml:space="preserve">s the proposed removal of the mandatory requirement to include </w:t>
      </w:r>
      <w:r w:rsidRPr="001D40D4">
        <w:rPr>
          <w:rFonts w:cs="Arial"/>
          <w:snapToGrid w:val="0"/>
          <w:szCs w:val="22"/>
        </w:rPr>
        <w:t>per serving nutrient and energy declarations</w:t>
      </w:r>
      <w:r>
        <w:rPr>
          <w:rFonts w:cs="Arial"/>
          <w:snapToGrid w:val="0"/>
          <w:szCs w:val="22"/>
        </w:rPr>
        <w:t xml:space="preserve"> in the NIP</w:t>
      </w:r>
      <w:r w:rsidR="009C2421">
        <w:rPr>
          <w:rFonts w:cs="Arial"/>
          <w:snapToGrid w:val="0"/>
          <w:szCs w:val="22"/>
        </w:rPr>
        <w:t>,</w:t>
      </w:r>
      <w:r>
        <w:rPr>
          <w:rFonts w:cs="Arial"/>
          <w:snapToGrid w:val="0"/>
          <w:szCs w:val="22"/>
        </w:rPr>
        <w:t xml:space="preserve"> but not to prevent the option of voluntar</w:t>
      </w:r>
      <w:r w:rsidR="00C27DA8">
        <w:rPr>
          <w:rFonts w:cs="Arial"/>
          <w:snapToGrid w:val="0"/>
          <w:szCs w:val="22"/>
        </w:rPr>
        <w:t>il</w:t>
      </w:r>
      <w:r>
        <w:rPr>
          <w:rFonts w:cs="Arial"/>
          <w:snapToGrid w:val="0"/>
          <w:szCs w:val="22"/>
        </w:rPr>
        <w:t>y declar</w:t>
      </w:r>
      <w:r w:rsidR="00C27DA8">
        <w:rPr>
          <w:rFonts w:cs="Arial"/>
          <w:snapToGrid w:val="0"/>
          <w:szCs w:val="22"/>
        </w:rPr>
        <w:t>ing that information</w:t>
      </w:r>
      <w:r>
        <w:rPr>
          <w:rFonts w:cs="Arial"/>
          <w:snapToGrid w:val="0"/>
          <w:szCs w:val="22"/>
        </w:rPr>
        <w:t>.</w:t>
      </w:r>
    </w:p>
    <w:p w14:paraId="1F4FB383" w14:textId="77777777" w:rsidR="003255BF" w:rsidRDefault="003255BF" w:rsidP="003255BF">
      <w:pPr>
        <w:rPr>
          <w:rFonts w:cs="Arial"/>
          <w:bCs/>
        </w:rPr>
      </w:pPr>
    </w:p>
    <w:p w14:paraId="08134521" w14:textId="7D6EF8CD" w:rsidR="003255BF" w:rsidRDefault="003255BF" w:rsidP="003255BF">
      <w:pPr>
        <w:rPr>
          <w:rFonts w:cs="Arial"/>
          <w:snapToGrid w:val="0"/>
          <w:szCs w:val="22"/>
        </w:rPr>
      </w:pPr>
      <w:r>
        <w:rPr>
          <w:rFonts w:cs="Arial"/>
          <w:bCs/>
        </w:rPr>
        <w:t xml:space="preserve">Given the </w:t>
      </w:r>
      <w:r w:rsidR="006D08B8">
        <w:rPr>
          <w:rFonts w:cs="Arial"/>
          <w:bCs/>
        </w:rPr>
        <w:t>strong stakeholder</w:t>
      </w:r>
      <w:r>
        <w:rPr>
          <w:rFonts w:cs="Arial"/>
          <w:bCs/>
        </w:rPr>
        <w:t xml:space="preserve"> opposition to Recommendation 17</w:t>
      </w:r>
      <w:r w:rsidR="00E856A5">
        <w:rPr>
          <w:rFonts w:cs="Arial"/>
          <w:bCs/>
        </w:rPr>
        <w:t xml:space="preserve"> (see section 3.4)</w:t>
      </w:r>
      <w:r>
        <w:rPr>
          <w:rFonts w:cs="Arial"/>
          <w:snapToGrid w:val="0"/>
          <w:szCs w:val="22"/>
        </w:rPr>
        <w:t xml:space="preserve">, FSANZ decided </w:t>
      </w:r>
      <w:r w:rsidR="00CF3D12">
        <w:rPr>
          <w:rFonts w:cs="Arial"/>
          <w:snapToGrid w:val="0"/>
          <w:szCs w:val="22"/>
        </w:rPr>
        <w:t>preparing</w:t>
      </w:r>
      <w:r>
        <w:rPr>
          <w:rFonts w:cs="Arial"/>
          <w:snapToGrid w:val="0"/>
          <w:szCs w:val="22"/>
        </w:rPr>
        <w:t xml:space="preserve"> a literature review on consumer use and understanding of per serving information </w:t>
      </w:r>
      <w:r w:rsidR="00CF3D12">
        <w:rPr>
          <w:rFonts w:cs="Arial"/>
          <w:snapToGrid w:val="0"/>
          <w:szCs w:val="22"/>
        </w:rPr>
        <w:t xml:space="preserve">was unnecessary </w:t>
      </w:r>
      <w:r>
        <w:rPr>
          <w:rFonts w:cs="Arial"/>
          <w:snapToGrid w:val="0"/>
          <w:szCs w:val="22"/>
        </w:rPr>
        <w:t>at this stage. FSANZ notes</w:t>
      </w:r>
      <w:r w:rsidR="00E856A5">
        <w:rPr>
          <w:rFonts w:cs="Arial"/>
          <w:snapToGrid w:val="0"/>
          <w:szCs w:val="22"/>
        </w:rPr>
        <w:t>, however,</w:t>
      </w:r>
      <w:r>
        <w:rPr>
          <w:rFonts w:cs="Arial"/>
          <w:snapToGrid w:val="0"/>
          <w:szCs w:val="22"/>
        </w:rPr>
        <w:t xml:space="preserve"> that currently there are limited studies on consumer use and understanding of per serving </w:t>
      </w:r>
      <w:r w:rsidR="00C27DA8">
        <w:rPr>
          <w:rFonts w:cs="Arial"/>
          <w:snapToGrid w:val="0"/>
          <w:szCs w:val="22"/>
        </w:rPr>
        <w:t xml:space="preserve">nutrition </w:t>
      </w:r>
      <w:r>
        <w:rPr>
          <w:rFonts w:cs="Arial"/>
          <w:snapToGrid w:val="0"/>
          <w:szCs w:val="22"/>
        </w:rPr>
        <w:t>information in the Australia and New Zealand context.</w:t>
      </w:r>
    </w:p>
    <w:p w14:paraId="3EADF950" w14:textId="44BAA157" w:rsidR="003255BF" w:rsidRPr="003255BF" w:rsidRDefault="003255BF" w:rsidP="003255BF">
      <w:pPr>
        <w:pStyle w:val="Heading1"/>
      </w:pPr>
      <w:bookmarkStart w:id="16" w:name="_Toc437416148"/>
      <w:r>
        <w:t>3</w:t>
      </w:r>
      <w:r w:rsidRPr="00AF397D">
        <w:tab/>
      </w:r>
      <w:r>
        <w:t>Analysis</w:t>
      </w:r>
      <w:bookmarkEnd w:id="16"/>
    </w:p>
    <w:p w14:paraId="4541CBE9" w14:textId="2ABAFBF3" w:rsidR="000F4745" w:rsidRPr="0036699E" w:rsidRDefault="003255BF" w:rsidP="0036699E">
      <w:pPr>
        <w:pStyle w:val="Heading2"/>
        <w:rPr>
          <w:i/>
        </w:rPr>
      </w:pPr>
      <w:bookmarkStart w:id="17" w:name="_Toc437416149"/>
      <w:bookmarkStart w:id="18" w:name="_Toc400626795"/>
      <w:r>
        <w:t>3.1</w:t>
      </w:r>
      <w:r w:rsidR="00681981" w:rsidRPr="00CE1D03">
        <w:tab/>
      </w:r>
      <w:r w:rsidR="00267883">
        <w:t xml:space="preserve">Requirements for per serving information in the </w:t>
      </w:r>
      <w:r w:rsidR="00A44C0D">
        <w:t>Code</w:t>
      </w:r>
      <w:bookmarkEnd w:id="17"/>
      <w:r w:rsidR="00A44C0D">
        <w:t xml:space="preserve"> </w:t>
      </w:r>
      <w:bookmarkEnd w:id="18"/>
    </w:p>
    <w:p w14:paraId="7FB7DB58" w14:textId="04ABE6A2" w:rsidR="005B7355" w:rsidRDefault="00B74660" w:rsidP="005B7355">
      <w:pPr>
        <w:pStyle w:val="FSBullet1"/>
        <w:numPr>
          <w:ilvl w:val="0"/>
          <w:numId w:val="0"/>
        </w:numPr>
        <w:rPr>
          <w:szCs w:val="22"/>
        </w:rPr>
      </w:pPr>
      <w:r>
        <w:rPr>
          <w:szCs w:val="22"/>
        </w:rPr>
        <w:t xml:space="preserve">Standard 1.2.8 – Nutrition </w:t>
      </w:r>
      <w:r w:rsidR="0036699E">
        <w:rPr>
          <w:szCs w:val="22"/>
        </w:rPr>
        <w:t>Information Requirements</w:t>
      </w:r>
      <w:r>
        <w:rPr>
          <w:szCs w:val="22"/>
        </w:rPr>
        <w:t xml:space="preserve"> sets out the requirements for the declaration of per serving information in </w:t>
      </w:r>
      <w:r w:rsidR="0036699E">
        <w:rPr>
          <w:szCs w:val="22"/>
        </w:rPr>
        <w:t>the</w:t>
      </w:r>
      <w:r>
        <w:rPr>
          <w:szCs w:val="22"/>
        </w:rPr>
        <w:t xml:space="preserve"> N</w:t>
      </w:r>
      <w:r w:rsidR="0036699E">
        <w:rPr>
          <w:szCs w:val="22"/>
        </w:rPr>
        <w:t>IP</w:t>
      </w:r>
      <w:r>
        <w:rPr>
          <w:szCs w:val="22"/>
        </w:rPr>
        <w:t xml:space="preserve"> (see Attachment A for details). T</w:t>
      </w:r>
      <w:r w:rsidR="005B7355">
        <w:rPr>
          <w:szCs w:val="22"/>
        </w:rPr>
        <w:t>he average quantity of energy, protein, fat, saturated fat, carbohydrate, sugars and sodium</w:t>
      </w:r>
      <w:r w:rsidR="005B7355" w:rsidRPr="005B7355">
        <w:rPr>
          <w:szCs w:val="22"/>
        </w:rPr>
        <w:t xml:space="preserve"> </w:t>
      </w:r>
      <w:r w:rsidR="005B7355">
        <w:rPr>
          <w:szCs w:val="22"/>
        </w:rPr>
        <w:t xml:space="preserve">in the food must be declared per serving </w:t>
      </w:r>
      <w:r w:rsidR="00E856A5">
        <w:rPr>
          <w:szCs w:val="22"/>
        </w:rPr>
        <w:t>and</w:t>
      </w:r>
      <w:r w:rsidR="005B7355">
        <w:rPr>
          <w:szCs w:val="22"/>
        </w:rPr>
        <w:t xml:space="preserve"> per 100 g/</w:t>
      </w:r>
      <w:r w:rsidR="00B13342">
        <w:rPr>
          <w:szCs w:val="22"/>
        </w:rPr>
        <w:t xml:space="preserve">100 </w:t>
      </w:r>
      <w:r w:rsidR="005B7355">
        <w:rPr>
          <w:szCs w:val="22"/>
        </w:rPr>
        <w:t>mL in the NIP. In addition, the average quantity of any other nutrient or biologically active substance</w:t>
      </w:r>
      <w:r w:rsidR="005B7355">
        <w:rPr>
          <w:rStyle w:val="FootnoteReference"/>
          <w:szCs w:val="22"/>
        </w:rPr>
        <w:footnoteReference w:id="3"/>
      </w:r>
      <w:r w:rsidR="005B7355">
        <w:rPr>
          <w:szCs w:val="22"/>
        </w:rPr>
        <w:t xml:space="preserve"> about </w:t>
      </w:r>
      <w:r w:rsidR="005B7355" w:rsidRPr="00506A7C">
        <w:rPr>
          <w:szCs w:val="22"/>
        </w:rPr>
        <w:t>which a claim requiring nutrition information</w:t>
      </w:r>
      <w:r w:rsidR="00506A7C">
        <w:rPr>
          <w:rStyle w:val="FootnoteReference"/>
          <w:i/>
          <w:szCs w:val="22"/>
        </w:rPr>
        <w:footnoteReference w:id="4"/>
      </w:r>
      <w:r w:rsidR="005B7355">
        <w:rPr>
          <w:i/>
          <w:szCs w:val="22"/>
        </w:rPr>
        <w:t xml:space="preserve"> </w:t>
      </w:r>
      <w:r w:rsidR="005B7355">
        <w:rPr>
          <w:szCs w:val="22"/>
        </w:rPr>
        <w:t>is made</w:t>
      </w:r>
      <w:r w:rsidR="00506A7C">
        <w:rPr>
          <w:szCs w:val="22"/>
        </w:rPr>
        <w:t xml:space="preserve"> </w:t>
      </w:r>
      <w:r w:rsidR="005B7355">
        <w:rPr>
          <w:szCs w:val="22"/>
        </w:rPr>
        <w:t xml:space="preserve">must also be declared per serving </w:t>
      </w:r>
      <w:r w:rsidR="00955C54">
        <w:rPr>
          <w:szCs w:val="22"/>
        </w:rPr>
        <w:t>and</w:t>
      </w:r>
      <w:r w:rsidR="005B7355">
        <w:rPr>
          <w:szCs w:val="22"/>
        </w:rPr>
        <w:t xml:space="preserve"> per 100 g/</w:t>
      </w:r>
      <w:r w:rsidR="00506A7C">
        <w:rPr>
          <w:szCs w:val="22"/>
        </w:rPr>
        <w:t xml:space="preserve">100 </w:t>
      </w:r>
      <w:r w:rsidR="005B7355">
        <w:rPr>
          <w:szCs w:val="22"/>
        </w:rPr>
        <w:t>mL.</w:t>
      </w:r>
    </w:p>
    <w:p w14:paraId="647A7BEA" w14:textId="77777777" w:rsidR="005B7355" w:rsidRDefault="005B7355" w:rsidP="00CA1557">
      <w:pPr>
        <w:rPr>
          <w:rFonts w:cs="Arial"/>
          <w:szCs w:val="22"/>
        </w:rPr>
      </w:pPr>
    </w:p>
    <w:p w14:paraId="1685464A" w14:textId="641BF594" w:rsidR="000F4745" w:rsidRDefault="005B7355" w:rsidP="00CA1557">
      <w:pPr>
        <w:rPr>
          <w:rFonts w:cs="Arial"/>
          <w:szCs w:val="22"/>
        </w:rPr>
      </w:pPr>
      <w:r>
        <w:rPr>
          <w:rFonts w:cs="Arial"/>
          <w:szCs w:val="22"/>
        </w:rPr>
        <w:t xml:space="preserve">Figure 1 provides an example of how the NIP should be set out. </w:t>
      </w:r>
      <w:r w:rsidR="00AE32A7">
        <w:rPr>
          <w:rFonts w:cs="Arial"/>
          <w:szCs w:val="22"/>
        </w:rPr>
        <w:t>Note that the serving size (determined by the food business) and the number of servings per package are also required in the NIP. Figure 1 also includes percentage daily intake (%DI)</w:t>
      </w:r>
      <w:r w:rsidR="00860E84">
        <w:rPr>
          <w:rFonts w:cs="Arial"/>
          <w:szCs w:val="22"/>
        </w:rPr>
        <w:t xml:space="preserve"> and percentage recommended dietary intake (%RDI)</w:t>
      </w:r>
      <w:r w:rsidR="009C2421">
        <w:rPr>
          <w:rFonts w:cs="Arial"/>
          <w:szCs w:val="22"/>
        </w:rPr>
        <w:t>,</w:t>
      </w:r>
      <w:r w:rsidR="00AE32A7">
        <w:rPr>
          <w:rFonts w:cs="Arial"/>
          <w:szCs w:val="22"/>
        </w:rPr>
        <w:t xml:space="preserve"> information which may be voluntarily provided in the NIP. Where such information is provided, there are mandatory requirements governing </w:t>
      </w:r>
      <w:r w:rsidR="00860E84">
        <w:rPr>
          <w:rFonts w:cs="Arial"/>
          <w:szCs w:val="22"/>
        </w:rPr>
        <w:t>their</w:t>
      </w:r>
      <w:r w:rsidR="00AE32A7">
        <w:rPr>
          <w:rFonts w:cs="Arial"/>
          <w:szCs w:val="22"/>
        </w:rPr>
        <w:t xml:space="preserve"> use.</w:t>
      </w:r>
    </w:p>
    <w:tbl>
      <w:tblPr>
        <w:tblW w:w="8444" w:type="dxa"/>
        <w:tblLayout w:type="fixed"/>
        <w:tblCellMar>
          <w:left w:w="80" w:type="dxa"/>
          <w:right w:w="80" w:type="dxa"/>
        </w:tblCellMar>
        <w:tblLook w:val="0000" w:firstRow="0" w:lastRow="0" w:firstColumn="0" w:lastColumn="0" w:noHBand="0" w:noVBand="0"/>
      </w:tblPr>
      <w:tblGrid>
        <w:gridCol w:w="2670"/>
        <w:gridCol w:w="1440"/>
        <w:gridCol w:w="1985"/>
        <w:gridCol w:w="142"/>
        <w:gridCol w:w="2207"/>
      </w:tblGrid>
      <w:tr w:rsidR="000F4745" w:rsidRPr="00190EE5" w14:paraId="0309301D" w14:textId="77777777" w:rsidTr="00E11ED1">
        <w:trPr>
          <w:cantSplit/>
        </w:trPr>
        <w:tc>
          <w:tcPr>
            <w:tcW w:w="8444" w:type="dxa"/>
            <w:gridSpan w:val="5"/>
            <w:tcBorders>
              <w:top w:val="single" w:sz="2" w:space="0" w:color="auto"/>
              <w:left w:val="single" w:sz="2" w:space="0" w:color="auto"/>
              <w:bottom w:val="single" w:sz="2" w:space="0" w:color="auto"/>
              <w:right w:val="single" w:sz="4" w:space="0" w:color="auto"/>
            </w:tcBorders>
          </w:tcPr>
          <w:p w14:paraId="08439928" w14:textId="77777777" w:rsidR="000F4745" w:rsidRPr="001F0C9A" w:rsidRDefault="000F4745" w:rsidP="00E11ED1">
            <w:pPr>
              <w:keepNext/>
              <w:jc w:val="center"/>
              <w:rPr>
                <w:rFonts w:cs="Arial"/>
                <w:b/>
                <w:bCs/>
                <w:sz w:val="20"/>
                <w:szCs w:val="22"/>
              </w:rPr>
            </w:pPr>
            <w:r w:rsidRPr="001F0C9A">
              <w:rPr>
                <w:rFonts w:cs="Arial"/>
                <w:b/>
                <w:bCs/>
                <w:sz w:val="20"/>
                <w:szCs w:val="22"/>
              </w:rPr>
              <w:lastRenderedPageBreak/>
              <w:t>NUTRITION INFORMATION</w:t>
            </w:r>
          </w:p>
          <w:p w14:paraId="245759BE" w14:textId="77777777" w:rsidR="000F4745" w:rsidRPr="001F0C9A" w:rsidRDefault="000F4745" w:rsidP="00E11ED1">
            <w:pPr>
              <w:keepNext/>
              <w:rPr>
                <w:rFonts w:cs="Arial"/>
                <w:sz w:val="20"/>
                <w:szCs w:val="22"/>
              </w:rPr>
            </w:pPr>
            <w:r w:rsidRPr="001F0C9A">
              <w:rPr>
                <w:rFonts w:cs="Arial"/>
                <w:sz w:val="20"/>
                <w:szCs w:val="22"/>
              </w:rPr>
              <w:t>Servings per package: (insert number of servings)</w:t>
            </w:r>
          </w:p>
          <w:p w14:paraId="461A8911" w14:textId="77777777" w:rsidR="000F4745" w:rsidRPr="001F0C9A" w:rsidRDefault="000F4745" w:rsidP="00E11ED1">
            <w:pPr>
              <w:keepNext/>
              <w:rPr>
                <w:rFonts w:cs="Arial"/>
                <w:sz w:val="20"/>
                <w:szCs w:val="22"/>
              </w:rPr>
            </w:pPr>
            <w:r w:rsidRPr="001F0C9A">
              <w:rPr>
                <w:rFonts w:cs="Arial"/>
                <w:sz w:val="20"/>
                <w:szCs w:val="22"/>
              </w:rPr>
              <w:t>Serving size: g (or mL or other units as appropriate)</w:t>
            </w:r>
          </w:p>
        </w:tc>
      </w:tr>
      <w:tr w:rsidR="000F4745" w:rsidRPr="00190EE5" w14:paraId="22C559A7" w14:textId="77777777" w:rsidTr="00E11ED1">
        <w:trPr>
          <w:cantSplit/>
        </w:trPr>
        <w:tc>
          <w:tcPr>
            <w:tcW w:w="2670" w:type="dxa"/>
            <w:tcBorders>
              <w:top w:val="single" w:sz="2" w:space="0" w:color="auto"/>
              <w:left w:val="single" w:sz="2" w:space="0" w:color="auto"/>
              <w:bottom w:val="single" w:sz="4" w:space="0" w:color="auto"/>
            </w:tcBorders>
          </w:tcPr>
          <w:p w14:paraId="12878155" w14:textId="77777777" w:rsidR="000F4745" w:rsidRPr="00190EE5" w:rsidRDefault="000F4745" w:rsidP="00E11ED1">
            <w:pPr>
              <w:keepNext/>
              <w:rPr>
                <w:rFonts w:cs="Arial"/>
                <w:szCs w:val="22"/>
              </w:rPr>
            </w:pPr>
          </w:p>
        </w:tc>
        <w:tc>
          <w:tcPr>
            <w:tcW w:w="1440" w:type="dxa"/>
            <w:tcBorders>
              <w:top w:val="single" w:sz="2" w:space="0" w:color="auto"/>
              <w:bottom w:val="single" w:sz="4" w:space="0" w:color="auto"/>
            </w:tcBorders>
          </w:tcPr>
          <w:p w14:paraId="73796794" w14:textId="77777777" w:rsidR="000F4745" w:rsidRPr="001F0C9A" w:rsidRDefault="000F4745" w:rsidP="00E11ED1">
            <w:pPr>
              <w:keepNext/>
              <w:rPr>
                <w:rFonts w:cs="Arial"/>
                <w:sz w:val="20"/>
                <w:szCs w:val="22"/>
              </w:rPr>
            </w:pPr>
            <w:r w:rsidRPr="001F0C9A">
              <w:rPr>
                <w:rFonts w:cs="Arial"/>
                <w:sz w:val="20"/>
                <w:szCs w:val="22"/>
              </w:rPr>
              <w:t xml:space="preserve">Average Quantity per Serving </w:t>
            </w:r>
          </w:p>
        </w:tc>
        <w:tc>
          <w:tcPr>
            <w:tcW w:w="1985" w:type="dxa"/>
            <w:tcBorders>
              <w:top w:val="single" w:sz="2" w:space="0" w:color="auto"/>
              <w:bottom w:val="single" w:sz="4" w:space="0" w:color="auto"/>
            </w:tcBorders>
          </w:tcPr>
          <w:p w14:paraId="13879779" w14:textId="77777777" w:rsidR="000F4745" w:rsidRPr="001F0C9A" w:rsidRDefault="000F4745" w:rsidP="00E11ED1">
            <w:pPr>
              <w:keepNext/>
              <w:rPr>
                <w:rFonts w:cs="Arial"/>
                <w:sz w:val="20"/>
                <w:szCs w:val="22"/>
              </w:rPr>
            </w:pPr>
            <w:r w:rsidRPr="001F0C9A">
              <w:rPr>
                <w:rFonts w:cs="Arial"/>
                <w:sz w:val="20"/>
                <w:szCs w:val="22"/>
              </w:rPr>
              <w:t>% Daily Intake*</w:t>
            </w:r>
            <w:r w:rsidRPr="001F0C9A">
              <w:rPr>
                <w:rFonts w:cs="Arial"/>
                <w:sz w:val="20"/>
                <w:szCs w:val="22"/>
              </w:rPr>
              <w:br/>
              <w:t>(per Serving)</w:t>
            </w:r>
          </w:p>
        </w:tc>
        <w:tc>
          <w:tcPr>
            <w:tcW w:w="2349" w:type="dxa"/>
            <w:gridSpan w:val="2"/>
            <w:tcBorders>
              <w:top w:val="single" w:sz="2" w:space="0" w:color="auto"/>
              <w:bottom w:val="single" w:sz="4" w:space="0" w:color="auto"/>
              <w:right w:val="single" w:sz="4" w:space="0" w:color="auto"/>
            </w:tcBorders>
          </w:tcPr>
          <w:p w14:paraId="53CAB66D" w14:textId="77777777" w:rsidR="000F4745" w:rsidRPr="001F0C9A" w:rsidRDefault="000F4745" w:rsidP="00E11ED1">
            <w:pPr>
              <w:keepNext/>
              <w:ind w:left="204"/>
              <w:rPr>
                <w:rFonts w:cs="Arial"/>
                <w:sz w:val="20"/>
                <w:szCs w:val="22"/>
              </w:rPr>
            </w:pPr>
            <w:r w:rsidRPr="001F0C9A">
              <w:rPr>
                <w:rFonts w:cs="Arial"/>
                <w:sz w:val="20"/>
                <w:szCs w:val="22"/>
              </w:rPr>
              <w:t xml:space="preserve">Average Quantity per 100 g </w:t>
            </w:r>
            <w:r w:rsidRPr="001F0C9A">
              <w:rPr>
                <w:rFonts w:cs="Arial"/>
                <w:sz w:val="20"/>
                <w:szCs w:val="22"/>
              </w:rPr>
              <w:br/>
              <w:t>(or 100 mL)</w:t>
            </w:r>
          </w:p>
        </w:tc>
      </w:tr>
      <w:tr w:rsidR="000F4745" w:rsidRPr="00190EE5" w14:paraId="27AF5B41" w14:textId="77777777" w:rsidTr="00E11ED1">
        <w:trPr>
          <w:cantSplit/>
        </w:trPr>
        <w:tc>
          <w:tcPr>
            <w:tcW w:w="2670" w:type="dxa"/>
            <w:tcBorders>
              <w:top w:val="single" w:sz="4" w:space="0" w:color="auto"/>
              <w:left w:val="single" w:sz="2" w:space="0" w:color="auto"/>
            </w:tcBorders>
          </w:tcPr>
          <w:p w14:paraId="080D1E48" w14:textId="77777777" w:rsidR="000F4745" w:rsidRPr="001F0C9A" w:rsidRDefault="000F4745" w:rsidP="00E11ED1">
            <w:pPr>
              <w:keepNext/>
              <w:rPr>
                <w:rFonts w:cs="Arial"/>
                <w:sz w:val="20"/>
                <w:szCs w:val="22"/>
              </w:rPr>
            </w:pPr>
            <w:r w:rsidRPr="001F0C9A">
              <w:rPr>
                <w:rFonts w:cs="Arial"/>
                <w:sz w:val="20"/>
                <w:szCs w:val="22"/>
              </w:rPr>
              <w:t>Energy</w:t>
            </w:r>
          </w:p>
          <w:p w14:paraId="7A4F75FC" w14:textId="77777777" w:rsidR="000F4745" w:rsidRPr="001F0C9A" w:rsidRDefault="000F4745" w:rsidP="00E11ED1">
            <w:pPr>
              <w:keepNext/>
              <w:rPr>
                <w:rFonts w:cs="Arial"/>
                <w:sz w:val="20"/>
                <w:szCs w:val="22"/>
              </w:rPr>
            </w:pPr>
          </w:p>
        </w:tc>
        <w:tc>
          <w:tcPr>
            <w:tcW w:w="1440" w:type="dxa"/>
            <w:tcBorders>
              <w:top w:val="single" w:sz="4" w:space="0" w:color="auto"/>
            </w:tcBorders>
          </w:tcPr>
          <w:p w14:paraId="556E4FD6" w14:textId="77777777" w:rsidR="000F4745" w:rsidRPr="001F0C9A" w:rsidRDefault="000F4745" w:rsidP="00E11ED1">
            <w:pPr>
              <w:keepNext/>
              <w:rPr>
                <w:rFonts w:cs="Arial"/>
                <w:sz w:val="20"/>
                <w:szCs w:val="22"/>
              </w:rPr>
            </w:pPr>
            <w:r w:rsidRPr="001F0C9A">
              <w:rPr>
                <w:rFonts w:cs="Arial"/>
                <w:sz w:val="20"/>
                <w:szCs w:val="22"/>
              </w:rPr>
              <w:t>kJ (Cal)</w:t>
            </w:r>
          </w:p>
        </w:tc>
        <w:tc>
          <w:tcPr>
            <w:tcW w:w="1985" w:type="dxa"/>
            <w:tcBorders>
              <w:top w:val="single" w:sz="4" w:space="0" w:color="auto"/>
            </w:tcBorders>
          </w:tcPr>
          <w:p w14:paraId="03F9B85C" w14:textId="77777777" w:rsidR="000F4745" w:rsidRPr="001F0C9A" w:rsidRDefault="000F4745" w:rsidP="00E11ED1">
            <w:pPr>
              <w:keepNext/>
              <w:rPr>
                <w:rFonts w:cs="Arial"/>
                <w:sz w:val="20"/>
                <w:szCs w:val="22"/>
              </w:rPr>
            </w:pPr>
            <w:r w:rsidRPr="001F0C9A">
              <w:rPr>
                <w:rFonts w:cs="Arial"/>
                <w:sz w:val="20"/>
                <w:szCs w:val="22"/>
              </w:rPr>
              <w:t>%</w:t>
            </w:r>
          </w:p>
        </w:tc>
        <w:tc>
          <w:tcPr>
            <w:tcW w:w="2349" w:type="dxa"/>
            <w:gridSpan w:val="2"/>
            <w:tcBorders>
              <w:top w:val="single" w:sz="4" w:space="0" w:color="auto"/>
              <w:right w:val="single" w:sz="4" w:space="0" w:color="auto"/>
            </w:tcBorders>
          </w:tcPr>
          <w:p w14:paraId="1E225F51" w14:textId="77777777" w:rsidR="000F4745" w:rsidRPr="001F0C9A" w:rsidRDefault="000F4745" w:rsidP="00E11ED1">
            <w:pPr>
              <w:keepNext/>
              <w:ind w:left="204"/>
              <w:rPr>
                <w:rFonts w:cs="Arial"/>
                <w:sz w:val="20"/>
                <w:szCs w:val="22"/>
              </w:rPr>
            </w:pPr>
            <w:r w:rsidRPr="001F0C9A">
              <w:rPr>
                <w:rFonts w:cs="Arial"/>
                <w:sz w:val="20"/>
                <w:szCs w:val="22"/>
              </w:rPr>
              <w:t>kJ (Cal)</w:t>
            </w:r>
          </w:p>
        </w:tc>
      </w:tr>
      <w:tr w:rsidR="000F4745" w:rsidRPr="00190EE5" w14:paraId="75770295" w14:textId="77777777" w:rsidTr="00E11ED1">
        <w:trPr>
          <w:cantSplit/>
        </w:trPr>
        <w:tc>
          <w:tcPr>
            <w:tcW w:w="2670" w:type="dxa"/>
            <w:tcBorders>
              <w:left w:val="single" w:sz="2" w:space="0" w:color="auto"/>
            </w:tcBorders>
          </w:tcPr>
          <w:p w14:paraId="0D4C8244" w14:textId="77777777" w:rsidR="000F4745" w:rsidRPr="001F0C9A" w:rsidRDefault="000F4745" w:rsidP="00E11ED1">
            <w:pPr>
              <w:keepNext/>
              <w:rPr>
                <w:rFonts w:cs="Arial"/>
                <w:sz w:val="20"/>
                <w:szCs w:val="22"/>
              </w:rPr>
            </w:pPr>
            <w:r w:rsidRPr="001F0C9A">
              <w:rPr>
                <w:rFonts w:cs="Arial"/>
                <w:sz w:val="20"/>
                <w:szCs w:val="22"/>
              </w:rPr>
              <w:t>Protein</w:t>
            </w:r>
          </w:p>
          <w:p w14:paraId="4B2E2047" w14:textId="77777777" w:rsidR="000F4745" w:rsidRPr="001F0C9A" w:rsidRDefault="000F4745" w:rsidP="00E11ED1">
            <w:pPr>
              <w:keepNext/>
              <w:rPr>
                <w:rFonts w:cs="Arial"/>
                <w:sz w:val="20"/>
                <w:szCs w:val="22"/>
              </w:rPr>
            </w:pPr>
          </w:p>
        </w:tc>
        <w:tc>
          <w:tcPr>
            <w:tcW w:w="1440" w:type="dxa"/>
          </w:tcPr>
          <w:p w14:paraId="439918C3" w14:textId="77777777" w:rsidR="000F4745" w:rsidRPr="001F0C9A" w:rsidRDefault="000F4745" w:rsidP="00E11ED1">
            <w:pPr>
              <w:keepNext/>
              <w:rPr>
                <w:rFonts w:cs="Arial"/>
                <w:sz w:val="20"/>
                <w:szCs w:val="22"/>
              </w:rPr>
            </w:pPr>
            <w:r w:rsidRPr="001F0C9A">
              <w:rPr>
                <w:rFonts w:cs="Arial"/>
                <w:sz w:val="20"/>
                <w:szCs w:val="22"/>
              </w:rPr>
              <w:t>g</w:t>
            </w:r>
          </w:p>
        </w:tc>
        <w:tc>
          <w:tcPr>
            <w:tcW w:w="1985" w:type="dxa"/>
          </w:tcPr>
          <w:p w14:paraId="6357C9EE" w14:textId="77777777" w:rsidR="000F4745" w:rsidRPr="001F0C9A" w:rsidRDefault="000F4745" w:rsidP="00E11ED1">
            <w:pPr>
              <w:keepNext/>
              <w:rPr>
                <w:rFonts w:cs="Arial"/>
                <w:sz w:val="20"/>
                <w:szCs w:val="22"/>
              </w:rPr>
            </w:pPr>
            <w:r w:rsidRPr="001F0C9A">
              <w:rPr>
                <w:rFonts w:cs="Arial"/>
                <w:sz w:val="20"/>
                <w:szCs w:val="22"/>
              </w:rPr>
              <w:t>%</w:t>
            </w:r>
          </w:p>
        </w:tc>
        <w:tc>
          <w:tcPr>
            <w:tcW w:w="2349" w:type="dxa"/>
            <w:gridSpan w:val="2"/>
            <w:tcBorders>
              <w:right w:val="single" w:sz="4" w:space="0" w:color="auto"/>
            </w:tcBorders>
          </w:tcPr>
          <w:p w14:paraId="39EA882D" w14:textId="77777777" w:rsidR="000F4745" w:rsidRPr="001F0C9A" w:rsidRDefault="000F4745" w:rsidP="00E11ED1">
            <w:pPr>
              <w:keepNext/>
              <w:ind w:left="204"/>
              <w:rPr>
                <w:rFonts w:cs="Arial"/>
                <w:sz w:val="20"/>
                <w:szCs w:val="22"/>
              </w:rPr>
            </w:pPr>
            <w:r w:rsidRPr="001F0C9A">
              <w:rPr>
                <w:rFonts w:cs="Arial"/>
                <w:sz w:val="20"/>
                <w:szCs w:val="22"/>
              </w:rPr>
              <w:t>g</w:t>
            </w:r>
          </w:p>
        </w:tc>
      </w:tr>
      <w:tr w:rsidR="000F4745" w:rsidRPr="00190EE5" w14:paraId="4C592857" w14:textId="77777777" w:rsidTr="00E11ED1">
        <w:trPr>
          <w:cantSplit/>
        </w:trPr>
        <w:tc>
          <w:tcPr>
            <w:tcW w:w="2670" w:type="dxa"/>
            <w:tcBorders>
              <w:left w:val="single" w:sz="2" w:space="0" w:color="auto"/>
            </w:tcBorders>
          </w:tcPr>
          <w:p w14:paraId="71AAFEF8" w14:textId="77777777" w:rsidR="000F4745" w:rsidRPr="001F0C9A" w:rsidRDefault="000F4745" w:rsidP="00E11ED1">
            <w:pPr>
              <w:keepNext/>
              <w:rPr>
                <w:rFonts w:cs="Arial"/>
                <w:sz w:val="20"/>
                <w:szCs w:val="22"/>
              </w:rPr>
            </w:pPr>
            <w:r w:rsidRPr="001F0C9A">
              <w:rPr>
                <w:rFonts w:cs="Arial"/>
                <w:sz w:val="20"/>
                <w:szCs w:val="22"/>
              </w:rPr>
              <w:t>Fat, total</w:t>
            </w:r>
          </w:p>
        </w:tc>
        <w:tc>
          <w:tcPr>
            <w:tcW w:w="1440" w:type="dxa"/>
          </w:tcPr>
          <w:p w14:paraId="48045F10" w14:textId="77777777" w:rsidR="000F4745" w:rsidRPr="001F0C9A" w:rsidRDefault="000F4745" w:rsidP="00E11ED1">
            <w:pPr>
              <w:keepNext/>
              <w:rPr>
                <w:rFonts w:cs="Arial"/>
                <w:sz w:val="20"/>
                <w:szCs w:val="22"/>
              </w:rPr>
            </w:pPr>
            <w:r w:rsidRPr="001F0C9A">
              <w:rPr>
                <w:rFonts w:cs="Arial"/>
                <w:sz w:val="20"/>
                <w:szCs w:val="22"/>
              </w:rPr>
              <w:t>g</w:t>
            </w:r>
          </w:p>
        </w:tc>
        <w:tc>
          <w:tcPr>
            <w:tcW w:w="1985" w:type="dxa"/>
          </w:tcPr>
          <w:p w14:paraId="6ABFC319" w14:textId="77777777" w:rsidR="000F4745" w:rsidRPr="001F0C9A" w:rsidRDefault="000F4745" w:rsidP="00E11ED1">
            <w:pPr>
              <w:keepNext/>
              <w:rPr>
                <w:rFonts w:cs="Arial"/>
                <w:sz w:val="20"/>
                <w:szCs w:val="22"/>
              </w:rPr>
            </w:pPr>
            <w:r w:rsidRPr="001F0C9A">
              <w:rPr>
                <w:rFonts w:cs="Arial"/>
                <w:sz w:val="20"/>
                <w:szCs w:val="22"/>
              </w:rPr>
              <w:t>%</w:t>
            </w:r>
          </w:p>
        </w:tc>
        <w:tc>
          <w:tcPr>
            <w:tcW w:w="2349" w:type="dxa"/>
            <w:gridSpan w:val="2"/>
            <w:tcBorders>
              <w:right w:val="single" w:sz="4" w:space="0" w:color="auto"/>
            </w:tcBorders>
          </w:tcPr>
          <w:p w14:paraId="59AC9190" w14:textId="77777777" w:rsidR="000F4745" w:rsidRPr="001F0C9A" w:rsidRDefault="000F4745" w:rsidP="00E11ED1">
            <w:pPr>
              <w:keepNext/>
              <w:ind w:left="204"/>
              <w:rPr>
                <w:rFonts w:cs="Arial"/>
                <w:sz w:val="20"/>
                <w:szCs w:val="22"/>
              </w:rPr>
            </w:pPr>
            <w:r w:rsidRPr="001F0C9A">
              <w:rPr>
                <w:rFonts w:cs="Arial"/>
                <w:sz w:val="20"/>
                <w:szCs w:val="22"/>
              </w:rPr>
              <w:t>g</w:t>
            </w:r>
          </w:p>
        </w:tc>
      </w:tr>
      <w:tr w:rsidR="000F4745" w:rsidRPr="00190EE5" w14:paraId="1D9ABBA5" w14:textId="77777777" w:rsidTr="00E11ED1">
        <w:trPr>
          <w:cantSplit/>
        </w:trPr>
        <w:tc>
          <w:tcPr>
            <w:tcW w:w="2670" w:type="dxa"/>
            <w:tcBorders>
              <w:left w:val="single" w:sz="2" w:space="0" w:color="auto"/>
            </w:tcBorders>
          </w:tcPr>
          <w:p w14:paraId="136D6215" w14:textId="56B09A98" w:rsidR="000F4745" w:rsidRPr="001F0C9A" w:rsidRDefault="000F4745" w:rsidP="00B80110">
            <w:pPr>
              <w:keepNext/>
              <w:ind w:left="284"/>
              <w:rPr>
                <w:rFonts w:cs="Arial"/>
                <w:sz w:val="20"/>
                <w:szCs w:val="22"/>
              </w:rPr>
            </w:pPr>
            <w:r w:rsidRPr="001F0C9A">
              <w:rPr>
                <w:rFonts w:cs="Arial"/>
                <w:sz w:val="20"/>
                <w:szCs w:val="22"/>
              </w:rPr>
              <w:t>– saturated</w:t>
            </w:r>
          </w:p>
        </w:tc>
        <w:tc>
          <w:tcPr>
            <w:tcW w:w="1440" w:type="dxa"/>
          </w:tcPr>
          <w:p w14:paraId="66587640" w14:textId="77777777" w:rsidR="000F4745" w:rsidRPr="001F0C9A" w:rsidRDefault="000F4745" w:rsidP="00E11ED1">
            <w:pPr>
              <w:keepNext/>
              <w:rPr>
                <w:rFonts w:cs="Arial"/>
                <w:sz w:val="20"/>
                <w:szCs w:val="22"/>
              </w:rPr>
            </w:pPr>
            <w:r w:rsidRPr="001F0C9A">
              <w:rPr>
                <w:rFonts w:cs="Arial"/>
                <w:sz w:val="20"/>
                <w:szCs w:val="22"/>
              </w:rPr>
              <w:t>g</w:t>
            </w:r>
          </w:p>
        </w:tc>
        <w:tc>
          <w:tcPr>
            <w:tcW w:w="1985" w:type="dxa"/>
          </w:tcPr>
          <w:p w14:paraId="6ABD5F0C" w14:textId="77777777" w:rsidR="000F4745" w:rsidRPr="001F0C9A" w:rsidRDefault="000F4745" w:rsidP="00E11ED1">
            <w:pPr>
              <w:keepNext/>
              <w:rPr>
                <w:rFonts w:cs="Arial"/>
                <w:sz w:val="20"/>
                <w:szCs w:val="22"/>
              </w:rPr>
            </w:pPr>
            <w:r w:rsidRPr="001F0C9A">
              <w:rPr>
                <w:rFonts w:cs="Arial"/>
                <w:sz w:val="20"/>
                <w:szCs w:val="22"/>
              </w:rPr>
              <w:t>%</w:t>
            </w:r>
          </w:p>
        </w:tc>
        <w:tc>
          <w:tcPr>
            <w:tcW w:w="2349" w:type="dxa"/>
            <w:gridSpan w:val="2"/>
            <w:tcBorders>
              <w:right w:val="single" w:sz="4" w:space="0" w:color="auto"/>
            </w:tcBorders>
          </w:tcPr>
          <w:p w14:paraId="7DF43B7A" w14:textId="77777777" w:rsidR="000F4745" w:rsidRPr="001F0C9A" w:rsidRDefault="000F4745" w:rsidP="00E11ED1">
            <w:pPr>
              <w:keepNext/>
              <w:ind w:left="204"/>
              <w:rPr>
                <w:rFonts w:cs="Arial"/>
                <w:sz w:val="20"/>
                <w:szCs w:val="22"/>
              </w:rPr>
            </w:pPr>
            <w:r w:rsidRPr="001F0C9A">
              <w:rPr>
                <w:rFonts w:cs="Arial"/>
                <w:sz w:val="20"/>
                <w:szCs w:val="22"/>
              </w:rPr>
              <w:t>g</w:t>
            </w:r>
          </w:p>
        </w:tc>
      </w:tr>
      <w:tr w:rsidR="000F4745" w:rsidRPr="00190EE5" w14:paraId="111C6F42" w14:textId="77777777" w:rsidTr="00E11ED1">
        <w:trPr>
          <w:cantSplit/>
        </w:trPr>
        <w:tc>
          <w:tcPr>
            <w:tcW w:w="2670" w:type="dxa"/>
            <w:tcBorders>
              <w:left w:val="single" w:sz="2" w:space="0" w:color="auto"/>
            </w:tcBorders>
          </w:tcPr>
          <w:p w14:paraId="541D7A3D" w14:textId="77777777" w:rsidR="000F4745" w:rsidRPr="001F0C9A" w:rsidRDefault="000F4745" w:rsidP="00E11ED1">
            <w:pPr>
              <w:keepNext/>
              <w:rPr>
                <w:rFonts w:cs="Arial"/>
                <w:sz w:val="20"/>
                <w:szCs w:val="22"/>
              </w:rPr>
            </w:pPr>
            <w:r w:rsidRPr="001F0C9A">
              <w:rPr>
                <w:rFonts w:cs="Arial"/>
                <w:sz w:val="20"/>
                <w:szCs w:val="22"/>
              </w:rPr>
              <w:t>Carbohydrate</w:t>
            </w:r>
          </w:p>
          <w:p w14:paraId="09E75313" w14:textId="2B063C7F" w:rsidR="000F4745" w:rsidRPr="001F0C9A" w:rsidRDefault="00B80110" w:rsidP="00B80110">
            <w:pPr>
              <w:keepNext/>
              <w:ind w:left="284" w:hanging="284"/>
              <w:rPr>
                <w:rFonts w:cs="Arial"/>
                <w:sz w:val="20"/>
                <w:szCs w:val="22"/>
              </w:rPr>
            </w:pPr>
            <w:r>
              <w:rPr>
                <w:rFonts w:cs="Arial"/>
                <w:sz w:val="20"/>
                <w:szCs w:val="22"/>
              </w:rPr>
              <w:tab/>
            </w:r>
            <w:r w:rsidR="000F4745" w:rsidRPr="001F0C9A">
              <w:rPr>
                <w:rFonts w:cs="Arial"/>
                <w:sz w:val="20"/>
                <w:szCs w:val="22"/>
              </w:rPr>
              <w:t>– sugars</w:t>
            </w:r>
          </w:p>
        </w:tc>
        <w:tc>
          <w:tcPr>
            <w:tcW w:w="1440" w:type="dxa"/>
          </w:tcPr>
          <w:p w14:paraId="0A6ABC60" w14:textId="77777777" w:rsidR="000F4745" w:rsidRPr="001F0C9A" w:rsidRDefault="000F4745" w:rsidP="00E11ED1">
            <w:pPr>
              <w:keepNext/>
              <w:rPr>
                <w:rFonts w:cs="Arial"/>
                <w:sz w:val="20"/>
                <w:szCs w:val="22"/>
              </w:rPr>
            </w:pPr>
            <w:r w:rsidRPr="001F0C9A">
              <w:rPr>
                <w:rFonts w:cs="Arial"/>
                <w:sz w:val="20"/>
                <w:szCs w:val="22"/>
              </w:rPr>
              <w:t>g</w:t>
            </w:r>
          </w:p>
          <w:p w14:paraId="3BC95264" w14:textId="77777777" w:rsidR="000F4745" w:rsidRPr="001F0C9A" w:rsidRDefault="000F4745" w:rsidP="00E11ED1">
            <w:pPr>
              <w:keepNext/>
              <w:rPr>
                <w:rFonts w:cs="Arial"/>
                <w:sz w:val="20"/>
                <w:szCs w:val="22"/>
              </w:rPr>
            </w:pPr>
            <w:r w:rsidRPr="001F0C9A">
              <w:rPr>
                <w:rFonts w:cs="Arial"/>
                <w:sz w:val="20"/>
                <w:szCs w:val="22"/>
              </w:rPr>
              <w:t>g</w:t>
            </w:r>
          </w:p>
        </w:tc>
        <w:tc>
          <w:tcPr>
            <w:tcW w:w="1985" w:type="dxa"/>
          </w:tcPr>
          <w:p w14:paraId="356AA3EA" w14:textId="77777777" w:rsidR="000F4745" w:rsidRPr="001F0C9A" w:rsidRDefault="000F4745" w:rsidP="00E11ED1">
            <w:pPr>
              <w:keepNext/>
              <w:rPr>
                <w:rFonts w:cs="Arial"/>
                <w:sz w:val="20"/>
                <w:szCs w:val="22"/>
              </w:rPr>
            </w:pPr>
            <w:r w:rsidRPr="001F0C9A">
              <w:rPr>
                <w:rFonts w:cs="Arial"/>
                <w:sz w:val="20"/>
                <w:szCs w:val="22"/>
              </w:rPr>
              <w:t>%</w:t>
            </w:r>
          </w:p>
          <w:p w14:paraId="571F1CD3" w14:textId="77777777" w:rsidR="000F4745" w:rsidRPr="001F0C9A" w:rsidRDefault="000F4745" w:rsidP="00E11ED1">
            <w:pPr>
              <w:keepNext/>
              <w:rPr>
                <w:rFonts w:cs="Arial"/>
                <w:sz w:val="20"/>
                <w:szCs w:val="22"/>
              </w:rPr>
            </w:pPr>
            <w:r w:rsidRPr="001F0C9A">
              <w:rPr>
                <w:rFonts w:cs="Arial"/>
                <w:sz w:val="20"/>
                <w:szCs w:val="22"/>
              </w:rPr>
              <w:t>%</w:t>
            </w:r>
          </w:p>
        </w:tc>
        <w:tc>
          <w:tcPr>
            <w:tcW w:w="2349" w:type="dxa"/>
            <w:gridSpan w:val="2"/>
            <w:tcBorders>
              <w:right w:val="single" w:sz="4" w:space="0" w:color="auto"/>
            </w:tcBorders>
          </w:tcPr>
          <w:p w14:paraId="5FA1BC2B" w14:textId="77777777" w:rsidR="000F4745" w:rsidRPr="001F0C9A" w:rsidRDefault="000F4745" w:rsidP="00E11ED1">
            <w:pPr>
              <w:keepNext/>
              <w:ind w:left="204"/>
              <w:rPr>
                <w:rFonts w:cs="Arial"/>
                <w:sz w:val="20"/>
                <w:szCs w:val="22"/>
              </w:rPr>
            </w:pPr>
            <w:r w:rsidRPr="001F0C9A">
              <w:rPr>
                <w:rFonts w:cs="Arial"/>
                <w:sz w:val="20"/>
                <w:szCs w:val="22"/>
              </w:rPr>
              <w:t>g</w:t>
            </w:r>
          </w:p>
          <w:p w14:paraId="5ABC9E94" w14:textId="77777777" w:rsidR="000F4745" w:rsidRPr="001F0C9A" w:rsidRDefault="000F4745" w:rsidP="00E11ED1">
            <w:pPr>
              <w:keepNext/>
              <w:ind w:left="204"/>
              <w:rPr>
                <w:rFonts w:cs="Arial"/>
                <w:sz w:val="20"/>
                <w:szCs w:val="22"/>
              </w:rPr>
            </w:pPr>
            <w:r w:rsidRPr="001F0C9A">
              <w:rPr>
                <w:rFonts w:cs="Arial"/>
                <w:sz w:val="20"/>
                <w:szCs w:val="22"/>
              </w:rPr>
              <w:t>g</w:t>
            </w:r>
          </w:p>
        </w:tc>
      </w:tr>
      <w:tr w:rsidR="000F4745" w:rsidRPr="00132D9E" w14:paraId="3BCC8E85" w14:textId="77777777" w:rsidTr="00E11ED1">
        <w:trPr>
          <w:cantSplit/>
        </w:trPr>
        <w:tc>
          <w:tcPr>
            <w:tcW w:w="2670" w:type="dxa"/>
            <w:tcBorders>
              <w:left w:val="single" w:sz="2" w:space="0" w:color="auto"/>
            </w:tcBorders>
          </w:tcPr>
          <w:p w14:paraId="0AE4E224" w14:textId="77777777" w:rsidR="000F4745" w:rsidRPr="001F0C9A" w:rsidRDefault="000F4745" w:rsidP="00E11ED1">
            <w:pPr>
              <w:keepNext/>
              <w:rPr>
                <w:rFonts w:cs="Arial"/>
                <w:sz w:val="20"/>
                <w:szCs w:val="22"/>
              </w:rPr>
            </w:pPr>
            <w:r w:rsidRPr="001F0C9A">
              <w:rPr>
                <w:rFonts w:cs="Arial"/>
                <w:sz w:val="20"/>
                <w:szCs w:val="22"/>
              </w:rPr>
              <w:t>Sodium</w:t>
            </w:r>
          </w:p>
          <w:p w14:paraId="09C4242C" w14:textId="77777777" w:rsidR="000F4745" w:rsidRPr="001F0C9A" w:rsidRDefault="000F4745" w:rsidP="00E11ED1">
            <w:pPr>
              <w:keepNext/>
              <w:rPr>
                <w:rFonts w:cs="Arial"/>
                <w:sz w:val="20"/>
                <w:szCs w:val="22"/>
              </w:rPr>
            </w:pPr>
          </w:p>
          <w:p w14:paraId="44AC5C17" w14:textId="77777777" w:rsidR="000F4745" w:rsidRPr="001F0C9A" w:rsidRDefault="000F4745" w:rsidP="00E11ED1">
            <w:pPr>
              <w:keepNext/>
              <w:rPr>
                <w:rFonts w:cs="Arial"/>
                <w:sz w:val="20"/>
                <w:szCs w:val="22"/>
              </w:rPr>
            </w:pPr>
          </w:p>
          <w:p w14:paraId="2355A95C" w14:textId="77777777" w:rsidR="000F4745" w:rsidRPr="001F0C9A" w:rsidRDefault="000F4745" w:rsidP="00E11ED1">
            <w:pPr>
              <w:keepNext/>
              <w:rPr>
                <w:rFonts w:cs="Arial"/>
                <w:sz w:val="20"/>
                <w:szCs w:val="22"/>
              </w:rPr>
            </w:pPr>
          </w:p>
          <w:p w14:paraId="284F0172" w14:textId="77777777" w:rsidR="000F4745" w:rsidRPr="001F0C9A" w:rsidRDefault="000F4745" w:rsidP="00E11ED1">
            <w:pPr>
              <w:keepNext/>
              <w:rPr>
                <w:rFonts w:cs="Arial"/>
                <w:sz w:val="20"/>
                <w:szCs w:val="22"/>
              </w:rPr>
            </w:pPr>
            <w:r w:rsidRPr="001F0C9A">
              <w:rPr>
                <w:rFonts w:cs="Arial"/>
                <w:sz w:val="20"/>
                <w:szCs w:val="22"/>
              </w:rPr>
              <w:t>Vitamin C</w:t>
            </w:r>
          </w:p>
          <w:p w14:paraId="79F72FC7" w14:textId="77777777" w:rsidR="000F4745" w:rsidRPr="001F0C9A" w:rsidRDefault="000F4745" w:rsidP="00E11ED1">
            <w:pPr>
              <w:keepNext/>
              <w:rPr>
                <w:rFonts w:cs="Arial"/>
                <w:sz w:val="20"/>
                <w:szCs w:val="22"/>
              </w:rPr>
            </w:pPr>
            <w:r w:rsidRPr="001F0C9A">
              <w:rPr>
                <w:rFonts w:cs="Arial"/>
                <w:sz w:val="20"/>
                <w:szCs w:val="22"/>
              </w:rPr>
              <w:t>Calcium</w:t>
            </w:r>
          </w:p>
        </w:tc>
        <w:tc>
          <w:tcPr>
            <w:tcW w:w="1440" w:type="dxa"/>
          </w:tcPr>
          <w:p w14:paraId="1AF0DC6E" w14:textId="77777777" w:rsidR="000F4745" w:rsidRPr="001F0C9A" w:rsidRDefault="000F4745" w:rsidP="00E11ED1">
            <w:pPr>
              <w:keepNext/>
              <w:rPr>
                <w:rFonts w:cs="Arial"/>
                <w:sz w:val="20"/>
                <w:szCs w:val="22"/>
              </w:rPr>
            </w:pPr>
            <w:r w:rsidRPr="001F0C9A">
              <w:rPr>
                <w:rFonts w:cs="Arial"/>
                <w:sz w:val="20"/>
                <w:szCs w:val="22"/>
              </w:rPr>
              <w:t>mg (mmol)</w:t>
            </w:r>
          </w:p>
          <w:p w14:paraId="25453A75" w14:textId="77777777" w:rsidR="000F4745" w:rsidRPr="001F0C9A" w:rsidRDefault="000F4745" w:rsidP="00E11ED1">
            <w:pPr>
              <w:keepNext/>
              <w:rPr>
                <w:rFonts w:cs="Arial"/>
                <w:sz w:val="20"/>
                <w:szCs w:val="22"/>
              </w:rPr>
            </w:pPr>
          </w:p>
          <w:p w14:paraId="6BE073D1" w14:textId="77777777" w:rsidR="000F4745" w:rsidRPr="001F0C9A" w:rsidRDefault="000F4745" w:rsidP="00E11ED1">
            <w:pPr>
              <w:keepNext/>
              <w:rPr>
                <w:rFonts w:cs="Arial"/>
                <w:sz w:val="20"/>
                <w:szCs w:val="22"/>
              </w:rPr>
            </w:pPr>
          </w:p>
          <w:p w14:paraId="1CC8068C" w14:textId="77777777" w:rsidR="000F4745" w:rsidRPr="001F0C9A" w:rsidRDefault="000F4745" w:rsidP="00E11ED1">
            <w:pPr>
              <w:keepNext/>
              <w:rPr>
                <w:rFonts w:cs="Arial"/>
                <w:sz w:val="20"/>
                <w:szCs w:val="22"/>
              </w:rPr>
            </w:pPr>
          </w:p>
          <w:p w14:paraId="40AFF8CF" w14:textId="77777777" w:rsidR="000F4745" w:rsidRPr="001F0C9A" w:rsidRDefault="000F4745" w:rsidP="00E11ED1">
            <w:pPr>
              <w:keepNext/>
              <w:rPr>
                <w:rFonts w:cs="Arial"/>
                <w:sz w:val="20"/>
                <w:szCs w:val="22"/>
              </w:rPr>
            </w:pPr>
            <w:r w:rsidRPr="001F0C9A">
              <w:rPr>
                <w:rFonts w:cs="Arial"/>
                <w:sz w:val="20"/>
                <w:szCs w:val="22"/>
              </w:rPr>
              <w:t>mg</w:t>
            </w:r>
          </w:p>
          <w:p w14:paraId="39E8EFC5" w14:textId="77777777" w:rsidR="000F4745" w:rsidRPr="001F0C9A" w:rsidRDefault="000F4745" w:rsidP="00E11ED1">
            <w:pPr>
              <w:keepNext/>
              <w:rPr>
                <w:rFonts w:cs="Arial"/>
                <w:sz w:val="20"/>
                <w:szCs w:val="22"/>
              </w:rPr>
            </w:pPr>
            <w:r w:rsidRPr="001F0C9A">
              <w:rPr>
                <w:rFonts w:cs="Arial"/>
                <w:sz w:val="20"/>
                <w:szCs w:val="22"/>
              </w:rPr>
              <w:t>mg</w:t>
            </w:r>
          </w:p>
        </w:tc>
        <w:tc>
          <w:tcPr>
            <w:tcW w:w="2127" w:type="dxa"/>
            <w:gridSpan w:val="2"/>
          </w:tcPr>
          <w:p w14:paraId="384338DA" w14:textId="77777777" w:rsidR="000F4745" w:rsidRPr="001F0C9A" w:rsidRDefault="000F4745" w:rsidP="00E11ED1">
            <w:pPr>
              <w:keepNext/>
              <w:rPr>
                <w:rFonts w:cs="Arial"/>
                <w:sz w:val="20"/>
                <w:szCs w:val="22"/>
              </w:rPr>
            </w:pPr>
            <w:r w:rsidRPr="001F0C9A">
              <w:rPr>
                <w:rFonts w:cs="Arial"/>
                <w:sz w:val="20"/>
                <w:szCs w:val="22"/>
              </w:rPr>
              <w:t>%</w:t>
            </w:r>
          </w:p>
          <w:p w14:paraId="05E8C656" w14:textId="77777777" w:rsidR="000F4745" w:rsidRPr="001F0C9A" w:rsidRDefault="000F4745" w:rsidP="00E11ED1">
            <w:pPr>
              <w:keepNext/>
              <w:ind w:left="62"/>
              <w:rPr>
                <w:rFonts w:cs="Arial"/>
                <w:sz w:val="20"/>
                <w:szCs w:val="22"/>
              </w:rPr>
            </w:pPr>
          </w:p>
          <w:p w14:paraId="4E0D7B20" w14:textId="77777777" w:rsidR="000F4745" w:rsidRPr="001F0C9A" w:rsidRDefault="000F4745" w:rsidP="00E11ED1">
            <w:pPr>
              <w:keepNext/>
              <w:ind w:left="62"/>
              <w:rPr>
                <w:rFonts w:cs="Arial"/>
                <w:sz w:val="20"/>
                <w:szCs w:val="22"/>
              </w:rPr>
            </w:pPr>
          </w:p>
          <w:p w14:paraId="76396911" w14:textId="77777777" w:rsidR="000F4745" w:rsidRPr="001F0C9A" w:rsidRDefault="000F4745" w:rsidP="00E11ED1">
            <w:pPr>
              <w:keepNext/>
              <w:ind w:right="-317"/>
              <w:rPr>
                <w:rFonts w:cs="Arial"/>
                <w:sz w:val="20"/>
                <w:szCs w:val="22"/>
              </w:rPr>
            </w:pPr>
            <w:r w:rsidRPr="001F0C9A">
              <w:rPr>
                <w:rFonts w:cs="Arial"/>
                <w:sz w:val="20"/>
                <w:szCs w:val="22"/>
              </w:rPr>
              <w:t>% RDI (per serving)</w:t>
            </w:r>
          </w:p>
          <w:p w14:paraId="1380A757" w14:textId="77777777" w:rsidR="000F4745" w:rsidRPr="001F0C9A" w:rsidRDefault="000F4745" w:rsidP="00E11ED1">
            <w:pPr>
              <w:keepNext/>
              <w:rPr>
                <w:rFonts w:cs="Arial"/>
                <w:sz w:val="20"/>
                <w:szCs w:val="22"/>
              </w:rPr>
            </w:pPr>
            <w:r w:rsidRPr="001F0C9A">
              <w:rPr>
                <w:rFonts w:cs="Arial"/>
                <w:sz w:val="20"/>
                <w:szCs w:val="22"/>
              </w:rPr>
              <w:t>%</w:t>
            </w:r>
          </w:p>
          <w:p w14:paraId="49A07950" w14:textId="77777777" w:rsidR="000F4745" w:rsidRPr="001F0C9A" w:rsidRDefault="000F4745" w:rsidP="00E11ED1">
            <w:pPr>
              <w:keepNext/>
              <w:rPr>
                <w:rFonts w:cs="Arial"/>
                <w:sz w:val="20"/>
                <w:szCs w:val="22"/>
              </w:rPr>
            </w:pPr>
            <w:r w:rsidRPr="001F0C9A">
              <w:rPr>
                <w:rFonts w:cs="Arial"/>
                <w:sz w:val="20"/>
                <w:szCs w:val="22"/>
              </w:rPr>
              <w:t>%</w:t>
            </w:r>
          </w:p>
        </w:tc>
        <w:tc>
          <w:tcPr>
            <w:tcW w:w="2207" w:type="dxa"/>
            <w:tcBorders>
              <w:right w:val="single" w:sz="4" w:space="0" w:color="auto"/>
            </w:tcBorders>
          </w:tcPr>
          <w:p w14:paraId="2C5AE18F" w14:textId="77777777" w:rsidR="000F4745" w:rsidRPr="001F0C9A" w:rsidRDefault="000F4745" w:rsidP="00E11ED1">
            <w:pPr>
              <w:keepNext/>
              <w:ind w:left="62"/>
              <w:rPr>
                <w:rFonts w:cs="Arial"/>
                <w:sz w:val="20"/>
                <w:szCs w:val="22"/>
              </w:rPr>
            </w:pPr>
            <w:r w:rsidRPr="001F0C9A">
              <w:rPr>
                <w:rFonts w:cs="Arial"/>
                <w:sz w:val="20"/>
                <w:szCs w:val="22"/>
              </w:rPr>
              <w:t>mg (mmol)</w:t>
            </w:r>
          </w:p>
          <w:p w14:paraId="358BE937" w14:textId="77777777" w:rsidR="000F4745" w:rsidRPr="001F0C9A" w:rsidRDefault="000F4745" w:rsidP="00E11ED1">
            <w:pPr>
              <w:keepNext/>
              <w:ind w:left="62"/>
              <w:rPr>
                <w:rFonts w:cs="Arial"/>
                <w:sz w:val="20"/>
                <w:szCs w:val="22"/>
              </w:rPr>
            </w:pPr>
          </w:p>
          <w:p w14:paraId="537EBAA5" w14:textId="77777777" w:rsidR="000F4745" w:rsidRPr="001F0C9A" w:rsidRDefault="000F4745" w:rsidP="00E11ED1">
            <w:pPr>
              <w:keepNext/>
              <w:ind w:left="62"/>
              <w:rPr>
                <w:rFonts w:cs="Arial"/>
                <w:sz w:val="20"/>
                <w:szCs w:val="22"/>
              </w:rPr>
            </w:pPr>
          </w:p>
          <w:p w14:paraId="3FCB39B6" w14:textId="77777777" w:rsidR="000F4745" w:rsidRPr="001F0C9A" w:rsidRDefault="000F4745" w:rsidP="00E11ED1">
            <w:pPr>
              <w:keepNext/>
              <w:ind w:left="62"/>
              <w:rPr>
                <w:rFonts w:cs="Arial"/>
                <w:sz w:val="20"/>
                <w:szCs w:val="22"/>
              </w:rPr>
            </w:pPr>
          </w:p>
          <w:p w14:paraId="7271D8ED" w14:textId="77777777" w:rsidR="000F4745" w:rsidRPr="001F0C9A" w:rsidRDefault="000F4745" w:rsidP="00E11ED1">
            <w:pPr>
              <w:keepNext/>
              <w:ind w:left="62"/>
              <w:rPr>
                <w:rFonts w:cs="Arial"/>
                <w:sz w:val="20"/>
                <w:szCs w:val="22"/>
              </w:rPr>
            </w:pPr>
            <w:r w:rsidRPr="001F0C9A">
              <w:rPr>
                <w:rFonts w:cs="Arial"/>
                <w:sz w:val="20"/>
                <w:szCs w:val="22"/>
              </w:rPr>
              <w:t>mg</w:t>
            </w:r>
          </w:p>
          <w:p w14:paraId="149BE5D3" w14:textId="77777777" w:rsidR="000F4745" w:rsidRPr="001F0C9A" w:rsidRDefault="000F4745" w:rsidP="00E11ED1">
            <w:pPr>
              <w:keepNext/>
              <w:ind w:left="62"/>
              <w:rPr>
                <w:rFonts w:cs="Arial"/>
                <w:sz w:val="20"/>
                <w:szCs w:val="22"/>
              </w:rPr>
            </w:pPr>
            <w:r w:rsidRPr="001F0C9A">
              <w:rPr>
                <w:rFonts w:cs="Arial"/>
                <w:sz w:val="20"/>
                <w:szCs w:val="22"/>
              </w:rPr>
              <w:t>mg</w:t>
            </w:r>
          </w:p>
        </w:tc>
      </w:tr>
      <w:tr w:rsidR="000F4745" w:rsidRPr="00190EE5" w14:paraId="68235055" w14:textId="77777777" w:rsidTr="00E11ED1">
        <w:trPr>
          <w:cantSplit/>
        </w:trPr>
        <w:tc>
          <w:tcPr>
            <w:tcW w:w="2670" w:type="dxa"/>
            <w:tcBorders>
              <w:left w:val="single" w:sz="2" w:space="0" w:color="auto"/>
            </w:tcBorders>
          </w:tcPr>
          <w:p w14:paraId="31844701" w14:textId="77777777" w:rsidR="000F4745" w:rsidRPr="00190EE5" w:rsidRDefault="000F4745" w:rsidP="00E11ED1">
            <w:pPr>
              <w:keepNext/>
              <w:rPr>
                <w:rFonts w:cs="Arial"/>
                <w:szCs w:val="22"/>
              </w:rPr>
            </w:pPr>
          </w:p>
        </w:tc>
        <w:tc>
          <w:tcPr>
            <w:tcW w:w="1440" w:type="dxa"/>
          </w:tcPr>
          <w:p w14:paraId="3AA4BE2A" w14:textId="77777777" w:rsidR="000F4745" w:rsidRPr="001F0C9A" w:rsidRDefault="000F4745" w:rsidP="00E11ED1">
            <w:pPr>
              <w:keepNext/>
              <w:rPr>
                <w:rFonts w:cs="Arial"/>
                <w:sz w:val="20"/>
                <w:szCs w:val="22"/>
              </w:rPr>
            </w:pPr>
          </w:p>
        </w:tc>
        <w:tc>
          <w:tcPr>
            <w:tcW w:w="1985" w:type="dxa"/>
          </w:tcPr>
          <w:p w14:paraId="5D203210" w14:textId="77777777" w:rsidR="000F4745" w:rsidRPr="001F0C9A" w:rsidRDefault="000F4745" w:rsidP="00E11ED1">
            <w:pPr>
              <w:keepNext/>
              <w:rPr>
                <w:rFonts w:cs="Arial"/>
                <w:sz w:val="20"/>
                <w:szCs w:val="22"/>
              </w:rPr>
            </w:pPr>
          </w:p>
        </w:tc>
        <w:tc>
          <w:tcPr>
            <w:tcW w:w="2349" w:type="dxa"/>
            <w:gridSpan w:val="2"/>
            <w:tcBorders>
              <w:right w:val="single" w:sz="4" w:space="0" w:color="auto"/>
            </w:tcBorders>
          </w:tcPr>
          <w:p w14:paraId="372D83BA" w14:textId="77777777" w:rsidR="000F4745" w:rsidRPr="001F0C9A" w:rsidRDefault="000F4745" w:rsidP="00E11ED1">
            <w:pPr>
              <w:keepNext/>
              <w:ind w:left="299"/>
              <w:rPr>
                <w:rFonts w:cs="Arial"/>
                <w:sz w:val="20"/>
                <w:szCs w:val="22"/>
              </w:rPr>
            </w:pPr>
          </w:p>
        </w:tc>
      </w:tr>
      <w:tr w:rsidR="000F4745" w:rsidRPr="00190EE5" w14:paraId="48FCCA6D" w14:textId="77777777" w:rsidTr="00E11ED1">
        <w:trPr>
          <w:cantSplit/>
        </w:trPr>
        <w:tc>
          <w:tcPr>
            <w:tcW w:w="8444" w:type="dxa"/>
            <w:gridSpan w:val="5"/>
            <w:tcBorders>
              <w:left w:val="single" w:sz="2" w:space="0" w:color="auto"/>
              <w:bottom w:val="single" w:sz="2" w:space="0" w:color="auto"/>
              <w:right w:val="single" w:sz="4" w:space="0" w:color="auto"/>
            </w:tcBorders>
          </w:tcPr>
          <w:p w14:paraId="2DCDBDF2" w14:textId="77777777" w:rsidR="000F4745" w:rsidRPr="001F0C9A" w:rsidRDefault="000F4745" w:rsidP="00E11ED1">
            <w:pPr>
              <w:keepNext/>
              <w:rPr>
                <w:rFonts w:cs="Arial"/>
                <w:sz w:val="20"/>
                <w:szCs w:val="22"/>
              </w:rPr>
            </w:pPr>
            <w:r w:rsidRPr="001F0C9A">
              <w:rPr>
                <w:rFonts w:cs="Arial"/>
                <w:sz w:val="20"/>
                <w:szCs w:val="22"/>
              </w:rPr>
              <w:t xml:space="preserve">*Percentage daily intakes are based on an average adult diet of 8700 kJ. </w:t>
            </w:r>
          </w:p>
        </w:tc>
      </w:tr>
    </w:tbl>
    <w:p w14:paraId="0EDF5C4D" w14:textId="196DE911" w:rsidR="000F4745" w:rsidRDefault="000F4745" w:rsidP="00CA1557">
      <w:pPr>
        <w:rPr>
          <w:rFonts w:cs="Arial"/>
          <w:szCs w:val="22"/>
        </w:rPr>
      </w:pPr>
    </w:p>
    <w:p w14:paraId="1C152750" w14:textId="386C3C3B" w:rsidR="00AE32A7" w:rsidRDefault="00AE32A7" w:rsidP="00CA1557">
      <w:pPr>
        <w:rPr>
          <w:rFonts w:cs="Arial"/>
          <w:szCs w:val="22"/>
        </w:rPr>
      </w:pPr>
      <w:r w:rsidRPr="00860E84">
        <w:rPr>
          <w:rFonts w:cs="Arial"/>
          <w:b/>
          <w:szCs w:val="22"/>
        </w:rPr>
        <w:t>Figure 1:</w:t>
      </w:r>
      <w:r>
        <w:rPr>
          <w:rFonts w:cs="Arial"/>
          <w:szCs w:val="22"/>
        </w:rPr>
        <w:t xml:space="preserve">  Example of the format and content of an NIP (%DI and </w:t>
      </w:r>
      <w:r w:rsidR="00860E84">
        <w:rPr>
          <w:rFonts w:cs="Arial"/>
          <w:szCs w:val="22"/>
        </w:rPr>
        <w:t>%</w:t>
      </w:r>
      <w:r>
        <w:rPr>
          <w:rFonts w:cs="Arial"/>
          <w:szCs w:val="22"/>
        </w:rPr>
        <w:t>RDI information is voluntary)</w:t>
      </w:r>
    </w:p>
    <w:p w14:paraId="19869D61" w14:textId="77777777" w:rsidR="00AE32A7" w:rsidRDefault="00AE32A7" w:rsidP="00CA1557">
      <w:pPr>
        <w:rPr>
          <w:rFonts w:cs="Arial"/>
          <w:szCs w:val="22"/>
        </w:rPr>
      </w:pPr>
    </w:p>
    <w:p w14:paraId="13ACB019" w14:textId="143034D9" w:rsidR="00AE32A7" w:rsidRDefault="00AE32A7" w:rsidP="00AE32A7">
      <w:pPr>
        <w:tabs>
          <w:tab w:val="left" w:pos="7088"/>
        </w:tabs>
      </w:pPr>
      <w:r>
        <w:rPr>
          <w:lang w:bidi="ar-SA"/>
        </w:rPr>
        <w:t xml:space="preserve">Recommendation 17 refers to the </w:t>
      </w:r>
      <w:r>
        <w:t>amount of nutrients per serving being</w:t>
      </w:r>
      <w:r>
        <w:rPr>
          <w:i/>
        </w:rPr>
        <w:t xml:space="preserve"> no longer mandatory unless a </w:t>
      </w:r>
      <w:r>
        <w:rPr>
          <w:b/>
          <w:i/>
        </w:rPr>
        <w:t>daily intake claim</w:t>
      </w:r>
      <w:r>
        <w:rPr>
          <w:i/>
        </w:rPr>
        <w:t xml:space="preserve"> is made. </w:t>
      </w:r>
      <w:r>
        <w:t>FSANZ assu</w:t>
      </w:r>
      <w:r w:rsidR="00AC714D">
        <w:t>mes</w:t>
      </w:r>
      <w:r>
        <w:t xml:space="preserve"> that </w:t>
      </w:r>
      <w:r>
        <w:rPr>
          <w:b/>
          <w:i/>
        </w:rPr>
        <w:t>daily intake claim</w:t>
      </w:r>
      <w:r>
        <w:rPr>
          <w:i/>
        </w:rPr>
        <w:t xml:space="preserve"> </w:t>
      </w:r>
      <w:r>
        <w:t xml:space="preserve">refers to both </w:t>
      </w:r>
      <w:r w:rsidR="00E856A5">
        <w:t>%DI and %RDI information.</w:t>
      </w:r>
    </w:p>
    <w:p w14:paraId="7EC5CF99" w14:textId="62EC651B" w:rsidR="00267883" w:rsidRDefault="00AE32A7" w:rsidP="00AE32A7">
      <w:pPr>
        <w:pStyle w:val="Heading2"/>
      </w:pPr>
      <w:r>
        <w:t xml:space="preserve"> </w:t>
      </w:r>
      <w:bookmarkStart w:id="19" w:name="_Toc437416150"/>
      <w:r w:rsidR="000F4745">
        <w:t>3.2</w:t>
      </w:r>
      <w:r w:rsidR="00267883">
        <w:tab/>
        <w:t>International regulatory approaches for nutrition labelling</w:t>
      </w:r>
      <w:bookmarkEnd w:id="19"/>
    </w:p>
    <w:p w14:paraId="7EC5CF9A" w14:textId="032365C8" w:rsidR="00267883" w:rsidRDefault="00267883" w:rsidP="00267883">
      <w:pPr>
        <w:rPr>
          <w:rFonts w:cs="Arial"/>
        </w:rPr>
      </w:pPr>
      <w:r>
        <w:rPr>
          <w:rFonts w:cs="Arial"/>
        </w:rPr>
        <w:t xml:space="preserve">A summary of requirements for the </w:t>
      </w:r>
      <w:r w:rsidRPr="00345844">
        <w:rPr>
          <w:rFonts w:cs="Arial"/>
        </w:rPr>
        <w:t xml:space="preserve">declaration of energy and nutrients in </w:t>
      </w:r>
      <w:r>
        <w:rPr>
          <w:rFonts w:cs="Arial"/>
        </w:rPr>
        <w:t>NIPs (or similar)</w:t>
      </w:r>
      <w:r w:rsidRPr="00345844">
        <w:rPr>
          <w:rFonts w:cs="Arial"/>
        </w:rPr>
        <w:t xml:space="preserve"> in Austra</w:t>
      </w:r>
      <w:r>
        <w:rPr>
          <w:rFonts w:cs="Arial"/>
        </w:rPr>
        <w:t>lia/New Zealand, Canada, the USA</w:t>
      </w:r>
      <w:r w:rsidRPr="00345844">
        <w:rPr>
          <w:rFonts w:cs="Arial"/>
        </w:rPr>
        <w:t xml:space="preserve">, the </w:t>
      </w:r>
      <w:r>
        <w:rPr>
          <w:rFonts w:cs="Arial"/>
        </w:rPr>
        <w:t>EU</w:t>
      </w:r>
      <w:r w:rsidRPr="00345844">
        <w:rPr>
          <w:rFonts w:cs="Arial"/>
        </w:rPr>
        <w:t xml:space="preserve"> and from Codex</w:t>
      </w:r>
      <w:r>
        <w:rPr>
          <w:rFonts w:cs="Arial"/>
        </w:rPr>
        <w:t xml:space="preserve"> guidelines </w:t>
      </w:r>
      <w:r w:rsidR="000F4745">
        <w:rPr>
          <w:rFonts w:cs="Arial"/>
        </w:rPr>
        <w:t xml:space="preserve">is at </w:t>
      </w:r>
      <w:r w:rsidR="000F4745" w:rsidRPr="00433DE0">
        <w:rPr>
          <w:rFonts w:cs="Arial"/>
        </w:rPr>
        <w:t>Attachment B</w:t>
      </w:r>
      <w:r w:rsidRPr="00433DE0">
        <w:rPr>
          <w:rFonts w:cs="Arial"/>
        </w:rPr>
        <w:t>.</w:t>
      </w:r>
      <w:r>
        <w:rPr>
          <w:rFonts w:cs="Arial"/>
        </w:rPr>
        <w:t xml:space="preserve"> </w:t>
      </w:r>
    </w:p>
    <w:p w14:paraId="7EC5CF9B" w14:textId="77777777" w:rsidR="00267883" w:rsidRDefault="00267883" w:rsidP="00267883">
      <w:pPr>
        <w:rPr>
          <w:rFonts w:cs="Arial"/>
        </w:rPr>
      </w:pPr>
    </w:p>
    <w:p w14:paraId="7EC5CF9C" w14:textId="2A32AECE" w:rsidR="00267883" w:rsidRDefault="00267883" w:rsidP="00267883">
      <w:pPr>
        <w:rPr>
          <w:rFonts w:cs="Arial"/>
          <w:szCs w:val="22"/>
        </w:rPr>
      </w:pPr>
      <w:r>
        <w:rPr>
          <w:rFonts w:cs="Arial"/>
          <w:szCs w:val="22"/>
        </w:rPr>
        <w:t>In Canada and the USA, energy</w:t>
      </w:r>
      <w:r w:rsidR="009C2421">
        <w:rPr>
          <w:rFonts w:cs="Arial"/>
          <w:szCs w:val="22"/>
        </w:rPr>
        <w:t>,</w:t>
      </w:r>
      <w:r>
        <w:rPr>
          <w:rFonts w:cs="Arial"/>
          <w:szCs w:val="22"/>
        </w:rPr>
        <w:t xml:space="preserve"> mandated nutrients and any other nutrients in the nutrition facts table</w:t>
      </w:r>
      <w:r w:rsidR="002632ED">
        <w:rPr>
          <w:rFonts w:cs="Arial"/>
          <w:szCs w:val="22"/>
        </w:rPr>
        <w:t xml:space="preserve"> </w:t>
      </w:r>
      <w:r>
        <w:rPr>
          <w:rFonts w:cs="Arial"/>
          <w:szCs w:val="22"/>
        </w:rPr>
        <w:t>are required to be listed per serving. Percent Daily Value</w:t>
      </w:r>
      <w:r>
        <w:rPr>
          <w:rStyle w:val="FootnoteReference"/>
          <w:rFonts w:cs="Arial"/>
          <w:szCs w:val="22"/>
        </w:rPr>
        <w:footnoteReference w:id="5"/>
      </w:r>
      <w:r>
        <w:rPr>
          <w:rFonts w:cs="Arial"/>
          <w:szCs w:val="22"/>
        </w:rPr>
        <w:t xml:space="preserve"> amounts are also required for specified nutrients. While declarations of energy and nutrients are not required per 100 g/100 mL as they are in Australia/New Zealand, in the USA </w:t>
      </w:r>
      <w:r w:rsidRPr="00AC52C0">
        <w:rPr>
          <w:rFonts w:cs="Arial"/>
          <w:szCs w:val="22"/>
        </w:rPr>
        <w:t>such values can be included voluntarily if a product is both sold locally and exported.</w:t>
      </w:r>
    </w:p>
    <w:p w14:paraId="7EC5CF9D" w14:textId="77777777" w:rsidR="00267883" w:rsidRDefault="00267883" w:rsidP="00267883">
      <w:pPr>
        <w:rPr>
          <w:rFonts w:cs="Arial"/>
          <w:szCs w:val="22"/>
        </w:rPr>
      </w:pPr>
    </w:p>
    <w:p w14:paraId="7EC5CF9E" w14:textId="77777777" w:rsidR="00267883" w:rsidRDefault="00267883" w:rsidP="00267883">
      <w:pPr>
        <w:rPr>
          <w:lang w:val="en" w:eastAsia="en-NZ" w:bidi="ar-SA"/>
        </w:rPr>
      </w:pPr>
      <w:r>
        <w:rPr>
          <w:lang w:val="en" w:eastAsia="en-NZ" w:bidi="ar-SA"/>
        </w:rPr>
        <w:t xml:space="preserve">In the EU, energy and nutrients in the nutrition table are required to be declared per </w:t>
      </w:r>
    </w:p>
    <w:p w14:paraId="7EC5CF9F" w14:textId="018802DC" w:rsidR="00267883" w:rsidRDefault="00267883" w:rsidP="00267883">
      <w:pPr>
        <w:rPr>
          <w:lang w:val="en" w:eastAsia="en-NZ" w:bidi="ar-SA"/>
        </w:rPr>
      </w:pPr>
      <w:r>
        <w:rPr>
          <w:lang w:val="en" w:eastAsia="en-NZ" w:bidi="ar-SA"/>
        </w:rPr>
        <w:t xml:space="preserve">100 g/100 mL and when vitamins or minerals are included, they must also be expressed as a percentage of reference intakes per 100 g/100 mL. Energy and nutrients may also be expressed per serving. Inclusion of </w:t>
      </w:r>
      <w:r w:rsidR="0043186E">
        <w:rPr>
          <w:lang w:val="en" w:eastAsia="en-NZ" w:bidi="ar-SA"/>
        </w:rPr>
        <w:t xml:space="preserve">the </w:t>
      </w:r>
      <w:r>
        <w:rPr>
          <w:lang w:val="en" w:eastAsia="en-NZ" w:bidi="ar-SA"/>
        </w:rPr>
        <w:t>percentage of reference amounts (</w:t>
      </w:r>
      <w:r w:rsidR="00EF032D">
        <w:rPr>
          <w:lang w:val="en" w:eastAsia="en-NZ" w:bidi="ar-SA"/>
        </w:rPr>
        <w:t>percentage</w:t>
      </w:r>
      <w:r>
        <w:rPr>
          <w:lang w:val="en" w:eastAsia="en-NZ" w:bidi="ar-SA"/>
        </w:rPr>
        <w:t xml:space="preserve"> Guideline Daily Amount (</w:t>
      </w:r>
      <w:r w:rsidR="00EF032D">
        <w:rPr>
          <w:lang w:val="en" w:eastAsia="en-NZ" w:bidi="ar-SA"/>
        </w:rPr>
        <w:t>%</w:t>
      </w:r>
      <w:r>
        <w:rPr>
          <w:lang w:val="en" w:eastAsia="en-NZ" w:bidi="ar-SA"/>
        </w:rPr>
        <w:t>GDA)) for energy and nutrients in the nutrition table is voluntary and can either be expressed on a per serving or per 100 g/100 mL basis.</w:t>
      </w:r>
    </w:p>
    <w:p w14:paraId="7EC5CFA0" w14:textId="77777777" w:rsidR="00267883" w:rsidRDefault="00267883" w:rsidP="00267883">
      <w:pPr>
        <w:rPr>
          <w:lang w:val="en" w:eastAsia="en-NZ" w:bidi="ar-SA"/>
        </w:rPr>
      </w:pPr>
    </w:p>
    <w:p w14:paraId="7EC5CFA1" w14:textId="202FE6EC" w:rsidR="00267883" w:rsidRDefault="00267883" w:rsidP="00267883">
      <w:pPr>
        <w:rPr>
          <w:lang w:val="en" w:eastAsia="en-NZ" w:bidi="ar-SA"/>
        </w:rPr>
      </w:pPr>
      <w:r>
        <w:rPr>
          <w:lang w:val="en" w:eastAsia="en-NZ" w:bidi="ar-SA"/>
        </w:rPr>
        <w:t>The Codex Guidelines for Nutrition Labelling state that energy and the amoun</w:t>
      </w:r>
      <w:r w:rsidR="00B74660">
        <w:rPr>
          <w:lang w:val="en" w:eastAsia="en-NZ" w:bidi="ar-SA"/>
        </w:rPr>
        <w:t xml:space="preserve">ts of protein, carbohydrate, </w:t>
      </w:r>
      <w:r>
        <w:rPr>
          <w:lang w:val="en" w:eastAsia="en-NZ" w:bidi="ar-SA"/>
        </w:rPr>
        <w:t>fats</w:t>
      </w:r>
      <w:r w:rsidR="00B74660">
        <w:rPr>
          <w:lang w:val="en" w:eastAsia="en-NZ" w:bidi="ar-SA"/>
        </w:rPr>
        <w:t xml:space="preserve">, vitamins and minerals can </w:t>
      </w:r>
      <w:r>
        <w:rPr>
          <w:lang w:val="en" w:eastAsia="en-NZ" w:bidi="ar-SA"/>
        </w:rPr>
        <w:t xml:space="preserve">be expressed per 100 g/100 mL or per </w:t>
      </w:r>
      <w:r>
        <w:rPr>
          <w:lang w:val="en" w:eastAsia="en-NZ" w:bidi="ar-SA"/>
        </w:rPr>
        <w:lastRenderedPageBreak/>
        <w:t>package if the pa</w:t>
      </w:r>
      <w:r w:rsidR="00B74660">
        <w:rPr>
          <w:lang w:val="en" w:eastAsia="en-NZ" w:bidi="ar-SA"/>
        </w:rPr>
        <w:t>ckage only contains one serving or per serving</w:t>
      </w:r>
      <w:r>
        <w:rPr>
          <w:lang w:val="en" w:eastAsia="en-NZ" w:bidi="ar-SA"/>
        </w:rPr>
        <w:t xml:space="preserve">. </w:t>
      </w:r>
      <w:r w:rsidR="00B74660">
        <w:rPr>
          <w:lang w:val="en" w:eastAsia="en-NZ" w:bidi="ar-SA"/>
        </w:rPr>
        <w:t xml:space="preserve">In countries where energy and nutrient information are normally expressed per serving, the </w:t>
      </w:r>
      <w:r>
        <w:rPr>
          <w:lang w:val="en" w:eastAsia="en-NZ" w:bidi="ar-SA"/>
        </w:rPr>
        <w:t>information may be given per serving only.</w:t>
      </w:r>
    </w:p>
    <w:p w14:paraId="7EC5CFA2" w14:textId="77777777" w:rsidR="00267883" w:rsidRDefault="00267883" w:rsidP="00267883">
      <w:pPr>
        <w:rPr>
          <w:rFonts w:cs="Arial"/>
        </w:rPr>
      </w:pPr>
    </w:p>
    <w:p w14:paraId="7EC5CFA3" w14:textId="4BC6E642" w:rsidR="00267883" w:rsidRPr="00267883" w:rsidRDefault="00267883" w:rsidP="00267883">
      <w:pPr>
        <w:tabs>
          <w:tab w:val="left" w:pos="5812"/>
        </w:tabs>
        <w:rPr>
          <w:rFonts w:cs="Arial"/>
          <w:szCs w:val="22"/>
        </w:rPr>
      </w:pPr>
      <w:r>
        <w:rPr>
          <w:rFonts w:cs="Arial"/>
          <w:szCs w:val="22"/>
        </w:rPr>
        <w:t xml:space="preserve">Although the approach of mandating serving sizes for use on food labels is not in the scope of this project, in </w:t>
      </w:r>
      <w:r w:rsidRPr="004B38B2">
        <w:rPr>
          <w:rFonts w:cs="Arial"/>
          <w:szCs w:val="22"/>
        </w:rPr>
        <w:t>Labelling Logic</w:t>
      </w:r>
      <w:r>
        <w:rPr>
          <w:rFonts w:cs="Arial"/>
          <w:szCs w:val="22"/>
        </w:rPr>
        <w:t xml:space="preserve">, the panel referred to the use of mandatory serving sizes in the USA. It is of interest to note that the regulatory approaches taken for industry determination of serving sizes in the USA and Canada may in fact result in some variability in serving sizes within food categories. Information on the requirements for determining serving sizes in the USA and Canada, along with proposed changes, is </w:t>
      </w:r>
      <w:r w:rsidR="000F4745">
        <w:rPr>
          <w:rFonts w:cs="Arial"/>
          <w:szCs w:val="22"/>
        </w:rPr>
        <w:t xml:space="preserve">provided at </w:t>
      </w:r>
      <w:r w:rsidR="000F4745" w:rsidRPr="00433DE0">
        <w:rPr>
          <w:rFonts w:cs="Arial"/>
          <w:szCs w:val="22"/>
        </w:rPr>
        <w:t>Attachment C</w:t>
      </w:r>
      <w:r w:rsidRPr="00433DE0">
        <w:rPr>
          <w:rFonts w:cs="Arial"/>
          <w:szCs w:val="22"/>
        </w:rPr>
        <w:t>.</w:t>
      </w:r>
    </w:p>
    <w:p w14:paraId="7EC5CFB4" w14:textId="7AED6A1C" w:rsidR="007B30E2" w:rsidRDefault="00427CF6" w:rsidP="003B1F7A">
      <w:pPr>
        <w:pStyle w:val="Heading2"/>
      </w:pPr>
      <w:bookmarkStart w:id="20" w:name="_Toc437416151"/>
      <w:r>
        <w:t>3</w:t>
      </w:r>
      <w:r w:rsidR="00084690">
        <w:t>.3</w:t>
      </w:r>
      <w:r w:rsidR="007B30E2">
        <w:tab/>
      </w:r>
      <w:r w:rsidR="002F5589">
        <w:t xml:space="preserve">Previous </w:t>
      </w:r>
      <w:r>
        <w:t>FSANZ consideration of per serving information in the NIP</w:t>
      </w:r>
      <w:bookmarkEnd w:id="20"/>
    </w:p>
    <w:p w14:paraId="7EC5CFB5" w14:textId="13B43B22" w:rsidR="00427CF6" w:rsidRDefault="00427CF6" w:rsidP="00427CF6">
      <w:pPr>
        <w:ind w:right="-286"/>
        <w:rPr>
          <w:lang w:bidi="ar-SA"/>
        </w:rPr>
      </w:pPr>
      <w:r>
        <w:rPr>
          <w:lang w:bidi="ar-SA"/>
        </w:rPr>
        <w:t xml:space="preserve">Per serving information has been provided in mandatory NIPs in both Australia and New Zealand </w:t>
      </w:r>
      <w:r w:rsidRPr="00ED6387">
        <w:rPr>
          <w:lang w:bidi="ar-SA"/>
        </w:rPr>
        <w:t>since 2002</w:t>
      </w:r>
      <w:r>
        <w:rPr>
          <w:lang w:bidi="ar-SA"/>
        </w:rPr>
        <w:t xml:space="preserve"> when the joint Code was fully implemented. Before preparing the joint Code in the late 1990s,</w:t>
      </w:r>
      <w:r w:rsidR="00671C30">
        <w:rPr>
          <w:lang w:bidi="ar-SA"/>
        </w:rPr>
        <w:t xml:space="preserve"> in both countries, the NIP was voluntary for all foods except for infant formula. Foods carrying nutrition claims were required to have a NIP. </w:t>
      </w:r>
      <w:r>
        <w:rPr>
          <w:lang w:bidi="ar-SA"/>
        </w:rPr>
        <w:t>Although the nutrients required to be declared differed in Australia and New Zealand, declarations had to be expressed per industry nominated serving and per 100 g/100 mL.</w:t>
      </w:r>
    </w:p>
    <w:p w14:paraId="7EC5CFB6" w14:textId="77777777" w:rsidR="00427CF6" w:rsidRDefault="00427CF6" w:rsidP="00427CF6">
      <w:pPr>
        <w:rPr>
          <w:lang w:bidi="ar-SA"/>
        </w:rPr>
      </w:pPr>
    </w:p>
    <w:p w14:paraId="7EC5CFC8" w14:textId="59E27342" w:rsidR="00427CF6" w:rsidRDefault="00BB5D26" w:rsidP="002F5589">
      <w:pPr>
        <w:spacing w:after="200"/>
        <w:ind w:right="-440"/>
      </w:pPr>
      <w:r>
        <w:t>A summary of previous consideration of per serving information under Proposal P167</w:t>
      </w:r>
      <w:r w:rsidRPr="00D65079">
        <w:rPr>
          <w:rFonts w:cs="Arial"/>
        </w:rPr>
        <w:t>– Nutrition Labelling (Preliminary Assessment Report)</w:t>
      </w:r>
      <w:r>
        <w:t xml:space="preserve"> is </w:t>
      </w:r>
      <w:r w:rsidRPr="00433DE0">
        <w:t>at Attachment D</w:t>
      </w:r>
      <w:r w:rsidRPr="00433DE0">
        <w:rPr>
          <w:b/>
        </w:rPr>
        <w:t>.</w:t>
      </w:r>
      <w:r w:rsidRPr="00433DE0">
        <w:t xml:space="preserve"> </w:t>
      </w:r>
      <w:r w:rsidR="007F42EB" w:rsidRPr="00433DE0">
        <w:t>The</w:t>
      </w:r>
      <w:r w:rsidR="007F42EB">
        <w:t xml:space="preserve"> majority of submit</w:t>
      </w:r>
      <w:r w:rsidR="00E856A5">
        <w:t xml:space="preserve">ters to </w:t>
      </w:r>
      <w:r w:rsidR="00AA7BE5">
        <w:t xml:space="preserve">that </w:t>
      </w:r>
      <w:r w:rsidR="00E856A5">
        <w:t xml:space="preserve">Proposal (late 1990’s) </w:t>
      </w:r>
      <w:r w:rsidR="007F42EB">
        <w:t>supported the continued use of per serving information in the NIP.</w:t>
      </w:r>
    </w:p>
    <w:p w14:paraId="3CE379EE" w14:textId="67D1CC88" w:rsidR="001C2624" w:rsidRDefault="001360B6" w:rsidP="00427CF6">
      <w:r>
        <w:t>Before the current project</w:t>
      </w:r>
      <w:r w:rsidR="00AA7BE5">
        <w:t>,</w:t>
      </w:r>
      <w:r>
        <w:t xml:space="preserve"> FSANZ had</w:t>
      </w:r>
      <w:r w:rsidR="00427CF6">
        <w:t xml:space="preserve"> not formally considered per serving information in the NIP since </w:t>
      </w:r>
      <w:r w:rsidR="00AA7BE5">
        <w:t xml:space="preserve">Proposal </w:t>
      </w:r>
      <w:r w:rsidR="00427CF6">
        <w:t xml:space="preserve">P167 was completed in 1999. FSANZ has, however, commissioned research studies on various aspects of the NIP. </w:t>
      </w:r>
      <w:r w:rsidR="00E856A5">
        <w:t xml:space="preserve">A summary of </w:t>
      </w:r>
      <w:r w:rsidR="006425C9">
        <w:t>studies</w:t>
      </w:r>
      <w:r w:rsidR="00E856A5">
        <w:t xml:space="preserve"> relevant to per serving information is </w:t>
      </w:r>
      <w:r w:rsidR="00577629">
        <w:t xml:space="preserve">also </w:t>
      </w:r>
      <w:r w:rsidR="006425C9">
        <w:t xml:space="preserve">included </w:t>
      </w:r>
      <w:r w:rsidR="006425C9" w:rsidRPr="00433DE0">
        <w:t>at Attachment D. Studies</w:t>
      </w:r>
      <w:r w:rsidR="006425C9">
        <w:t xml:space="preserve"> carried out 10-15 years ago indicated that consumers used per serving information to make judgements about the nutrient content of a single food and to compare foods. There was some evidence that per serving information in the NIP was confusing for some consumers</w:t>
      </w:r>
      <w:r w:rsidR="000568A6">
        <w:t>,</w:t>
      </w:r>
      <w:r w:rsidR="006425C9">
        <w:t xml:space="preserve"> but overall consumers considered that both per serving and per 100 g/100</w:t>
      </w:r>
      <w:r w:rsidR="00E856A5">
        <w:t xml:space="preserve"> </w:t>
      </w:r>
      <w:r w:rsidR="006425C9">
        <w:t>mL declarations were of value in different circumstances.</w:t>
      </w:r>
    </w:p>
    <w:p w14:paraId="7EC5CFCA" w14:textId="6B347CC4" w:rsidR="0031283F" w:rsidRDefault="00221664" w:rsidP="003B1F7A">
      <w:pPr>
        <w:pStyle w:val="Heading2"/>
      </w:pPr>
      <w:bookmarkStart w:id="21" w:name="_Toc437416152"/>
      <w:r>
        <w:t>3</w:t>
      </w:r>
      <w:r w:rsidR="002F5589">
        <w:t>.4</w:t>
      </w:r>
      <w:r w:rsidR="007B30E2">
        <w:tab/>
      </w:r>
      <w:r w:rsidR="0031283F">
        <w:t>Public consultation on Recommendation 17</w:t>
      </w:r>
      <w:bookmarkEnd w:id="21"/>
    </w:p>
    <w:p w14:paraId="06767155" w14:textId="77777777" w:rsidR="00A7662A" w:rsidRDefault="0031283F" w:rsidP="00A7662A">
      <w:pPr>
        <w:rPr>
          <w:lang w:bidi="ar-SA"/>
        </w:rPr>
      </w:pPr>
      <w:r>
        <w:rPr>
          <w:lang w:bidi="ar-SA"/>
        </w:rPr>
        <w:t>FSANZ undertook public consultation on Recommendation 17 from 5 December 2014 until 27 February 2015.</w:t>
      </w:r>
      <w:r w:rsidR="001360B6">
        <w:rPr>
          <w:rStyle w:val="FootnoteReference"/>
          <w:lang w:bidi="ar-SA"/>
        </w:rPr>
        <w:footnoteReference w:id="6"/>
      </w:r>
      <w:r>
        <w:rPr>
          <w:lang w:bidi="ar-SA"/>
        </w:rPr>
        <w:t xml:space="preserve"> </w:t>
      </w:r>
    </w:p>
    <w:p w14:paraId="0DCE38F3" w14:textId="77777777" w:rsidR="00A7662A" w:rsidRDefault="00A7662A" w:rsidP="00A7662A">
      <w:pPr>
        <w:rPr>
          <w:lang w:bidi="ar-SA"/>
        </w:rPr>
      </w:pPr>
    </w:p>
    <w:p w14:paraId="11799EEF" w14:textId="79DF7815" w:rsidR="00DF1DA6" w:rsidRDefault="00A7662A" w:rsidP="0031283F">
      <w:pPr>
        <w:rPr>
          <w:lang w:bidi="ar-SA"/>
        </w:rPr>
      </w:pPr>
      <w:r>
        <w:rPr>
          <w:lang w:bidi="ar-SA"/>
        </w:rPr>
        <w:t xml:space="preserve">FSANZ received 78 submissions, including 19 campaign submissions from those with (or caring for family members with) metabolic disorders such as phenylketonuria. Two late submissions were received; one was from a consumer and the other </w:t>
      </w:r>
      <w:r w:rsidR="00DF1DA6">
        <w:rPr>
          <w:lang w:bidi="ar-SA"/>
        </w:rPr>
        <w:t xml:space="preserve">was </w:t>
      </w:r>
      <w:r>
        <w:rPr>
          <w:lang w:bidi="ar-SA"/>
        </w:rPr>
        <w:t xml:space="preserve">a campaign submission. </w:t>
      </w:r>
      <w:r w:rsidRPr="00A7662A">
        <w:t xml:space="preserve">Whilst FSANZ is not required to </w:t>
      </w:r>
      <w:r>
        <w:t>consider</w:t>
      </w:r>
      <w:r w:rsidRPr="00A7662A">
        <w:t xml:space="preserve"> late </w:t>
      </w:r>
      <w:r>
        <w:t>submissions</w:t>
      </w:r>
      <w:r w:rsidRPr="00A7662A">
        <w:t xml:space="preserve">, we note </w:t>
      </w:r>
      <w:r w:rsidR="00DF1DA6">
        <w:t>both these submitters did not support Recommendation 17.</w:t>
      </w:r>
    </w:p>
    <w:p w14:paraId="5875C713" w14:textId="20C1F497" w:rsidR="00444B68" w:rsidRDefault="00444B68" w:rsidP="00444B68">
      <w:pPr>
        <w:pStyle w:val="Heading3"/>
      </w:pPr>
      <w:r>
        <w:lastRenderedPageBreak/>
        <w:t>3.4.1</w:t>
      </w:r>
      <w:r>
        <w:tab/>
        <w:t>Uses of per serving information in the NIP</w:t>
      </w:r>
    </w:p>
    <w:p w14:paraId="3286822C" w14:textId="1145431E" w:rsidR="00A16908" w:rsidRDefault="002119B3" w:rsidP="000D1E2E">
      <w:pPr>
        <w:widowControl/>
        <w:rPr>
          <w:lang w:bidi="ar-SA"/>
        </w:rPr>
      </w:pPr>
      <w:r>
        <w:rPr>
          <w:lang w:bidi="ar-SA"/>
        </w:rPr>
        <w:t>It is clear from submissions that there</w:t>
      </w:r>
      <w:r w:rsidR="00204C5B">
        <w:rPr>
          <w:lang w:bidi="ar-SA"/>
        </w:rPr>
        <w:t xml:space="preserve"> is a wide range of uses of </w:t>
      </w:r>
      <w:r>
        <w:rPr>
          <w:lang w:bidi="ar-SA"/>
        </w:rPr>
        <w:t>per serving information i</w:t>
      </w:r>
      <w:r w:rsidR="00BD04B0">
        <w:rPr>
          <w:lang w:bidi="ar-SA"/>
        </w:rPr>
        <w:t xml:space="preserve">n the NIP for consumers, </w:t>
      </w:r>
      <w:r>
        <w:rPr>
          <w:lang w:bidi="ar-SA"/>
        </w:rPr>
        <w:t xml:space="preserve">health professionals, enforcement agencies and food businesses (see Figure 2). </w:t>
      </w:r>
      <w:r w:rsidR="009527D8">
        <w:rPr>
          <w:lang w:bidi="ar-SA"/>
        </w:rPr>
        <w:t>In particular, submitters emphasised the importance of per serving information in the management of lifelong diseases such as phenylketonuri</w:t>
      </w:r>
      <w:r w:rsidR="009154C1">
        <w:rPr>
          <w:lang w:bidi="ar-SA"/>
        </w:rPr>
        <w:t xml:space="preserve">a, diabetes, and kidney diseases. </w:t>
      </w:r>
    </w:p>
    <w:p w14:paraId="57CB96A5" w14:textId="77777777" w:rsidR="00A16908" w:rsidRDefault="00A16908" w:rsidP="000D1E2E">
      <w:pPr>
        <w:widowControl/>
        <w:rPr>
          <w:lang w:bidi="ar-SA"/>
        </w:rPr>
      </w:pPr>
    </w:p>
    <w:p w14:paraId="2F041E3B" w14:textId="771F7CD2" w:rsidR="000D1E2E" w:rsidRDefault="009154C1" w:rsidP="000D1E2E">
      <w:pPr>
        <w:widowControl/>
        <w:rPr>
          <w:lang w:bidi="ar-SA"/>
        </w:rPr>
      </w:pPr>
      <w:r>
        <w:rPr>
          <w:lang w:bidi="ar-SA"/>
        </w:rPr>
        <w:t>Per serving information is also useful</w:t>
      </w:r>
      <w:r w:rsidR="009527D8">
        <w:rPr>
          <w:lang w:bidi="ar-SA"/>
        </w:rPr>
        <w:t xml:space="preserve"> for comparing the nutritional value of foods with similar serving sizes or foods consumed at one eating occasion</w:t>
      </w:r>
      <w:r w:rsidR="0071536E">
        <w:rPr>
          <w:lang w:bidi="ar-SA"/>
        </w:rPr>
        <w:t>;</w:t>
      </w:r>
      <w:r w:rsidR="009527D8">
        <w:rPr>
          <w:lang w:bidi="ar-SA"/>
        </w:rPr>
        <w:t xml:space="preserve"> for checking compliance with Code requirements such as nutrition content and health claims</w:t>
      </w:r>
      <w:r w:rsidR="0071536E">
        <w:rPr>
          <w:lang w:bidi="ar-SA"/>
        </w:rPr>
        <w:t>;</w:t>
      </w:r>
      <w:r w:rsidR="009527D8">
        <w:rPr>
          <w:lang w:bidi="ar-SA"/>
        </w:rPr>
        <w:t xml:space="preserve"> for the basis of some </w:t>
      </w:r>
      <w:r w:rsidR="00955C54">
        <w:rPr>
          <w:lang w:bidi="ar-SA"/>
        </w:rPr>
        <w:t xml:space="preserve">nutrient </w:t>
      </w:r>
      <w:r w:rsidR="009527D8">
        <w:rPr>
          <w:lang w:bidi="ar-SA"/>
        </w:rPr>
        <w:t>criteria in</w:t>
      </w:r>
      <w:r w:rsidR="00955C54">
        <w:rPr>
          <w:lang w:bidi="ar-SA"/>
        </w:rPr>
        <w:t xml:space="preserve"> government school canteen programmes</w:t>
      </w:r>
      <w:r w:rsidR="00955C54">
        <w:rPr>
          <w:rStyle w:val="FootnoteReference"/>
        </w:rPr>
        <w:footnoteReference w:id="7"/>
      </w:r>
      <w:r w:rsidR="00955C54">
        <w:rPr>
          <w:rFonts w:ascii="Times New Roman" w:hAnsi="Times New Roman"/>
          <w:sz w:val="24"/>
          <w:lang w:val="en-NZ" w:eastAsia="en-NZ" w:bidi="ar-SA"/>
        </w:rPr>
        <w:t xml:space="preserve">, </w:t>
      </w:r>
      <w:r w:rsidR="00955C54">
        <w:rPr>
          <w:lang w:bidi="ar-SA"/>
        </w:rPr>
        <w:t>hospital food guidelines,</w:t>
      </w:r>
      <w:r w:rsidR="009527D8">
        <w:rPr>
          <w:lang w:bidi="ar-SA"/>
        </w:rPr>
        <w:t xml:space="preserve"> </w:t>
      </w:r>
      <w:r w:rsidR="000D1E2E">
        <w:rPr>
          <w:lang w:bidi="ar-SA"/>
        </w:rPr>
        <w:t xml:space="preserve">and </w:t>
      </w:r>
      <w:r w:rsidR="009527D8">
        <w:rPr>
          <w:lang w:bidi="ar-SA"/>
        </w:rPr>
        <w:t>the Heart Foundation’s Pick-the Tick</w:t>
      </w:r>
      <w:r w:rsidR="000D1E2E">
        <w:rPr>
          <w:rStyle w:val="FootnoteReference"/>
        </w:rPr>
        <w:footnoteReference w:id="8"/>
      </w:r>
      <w:r w:rsidR="000D1E2E">
        <w:rPr>
          <w:rFonts w:ascii="Times New Roman" w:hAnsi="Times New Roman"/>
          <w:sz w:val="24"/>
          <w:lang w:val="en-NZ" w:eastAsia="en-NZ" w:bidi="ar-SA"/>
        </w:rPr>
        <w:t xml:space="preserve"> </w:t>
      </w:r>
      <w:r w:rsidR="000D1E2E">
        <w:rPr>
          <w:lang w:bidi="ar-SA"/>
        </w:rPr>
        <w:t>program</w:t>
      </w:r>
      <w:r w:rsidR="00955C54">
        <w:rPr>
          <w:lang w:bidi="ar-SA"/>
        </w:rPr>
        <w:t>me</w:t>
      </w:r>
      <w:r w:rsidR="0071536E">
        <w:rPr>
          <w:lang w:bidi="ar-SA"/>
        </w:rPr>
        <w:t>;</w:t>
      </w:r>
      <w:r w:rsidR="009527D8">
        <w:rPr>
          <w:lang w:bidi="ar-SA"/>
        </w:rPr>
        <w:t xml:space="preserve"> and as a tool for general nutrition education.</w:t>
      </w:r>
    </w:p>
    <w:p w14:paraId="22BECADA" w14:textId="77777777" w:rsidR="00444B68" w:rsidRDefault="00444B68" w:rsidP="0031283F">
      <w:pPr>
        <w:rPr>
          <w:lang w:val="en-NZ" w:bidi="ar-SA"/>
        </w:rPr>
      </w:pPr>
    </w:p>
    <w:p w14:paraId="60504FD5" w14:textId="5CFFCBA6" w:rsidR="00955C54" w:rsidRPr="000D1E2E" w:rsidRDefault="00955C54" w:rsidP="0031283F">
      <w:pPr>
        <w:rPr>
          <w:lang w:val="en-NZ" w:bidi="ar-SA"/>
        </w:rPr>
      </w:pPr>
    </w:p>
    <w:p w14:paraId="67AEBF29" w14:textId="6F619FDE" w:rsidR="00204C5B" w:rsidRDefault="00204C5B">
      <w:pPr>
        <w:widowControl/>
        <w:rPr>
          <w:lang w:bidi="ar-SA"/>
        </w:rPr>
      </w:pPr>
      <w:r>
        <w:rPr>
          <w:lang w:bidi="ar-SA"/>
        </w:rPr>
        <w:br w:type="page"/>
      </w:r>
    </w:p>
    <w:p w14:paraId="343D4713" w14:textId="374CD2C4" w:rsidR="00204C5B" w:rsidRDefault="00312D71">
      <w:pPr>
        <w:widowControl/>
        <w:rPr>
          <w:lang w:bidi="ar-SA"/>
        </w:rPr>
      </w:pPr>
      <w:r>
        <w:rPr>
          <w:rFonts w:asciiTheme="minorHAnsi" w:hAnsiTheme="minorHAnsi"/>
          <w:noProof/>
          <w:szCs w:val="22"/>
          <w:lang w:eastAsia="en-GB" w:bidi="ar-SA"/>
        </w:rPr>
        <w:lastRenderedPageBreak/>
        <mc:AlternateContent>
          <mc:Choice Requires="wps">
            <w:drawing>
              <wp:anchor distT="0" distB="0" distL="114300" distR="114300" simplePos="0" relativeHeight="251658245" behindDoc="0" locked="0" layoutInCell="1" allowOverlap="1" wp14:anchorId="13109D47" wp14:editId="68265391">
                <wp:simplePos x="0" y="0"/>
                <wp:positionH relativeFrom="column">
                  <wp:posOffset>3333750</wp:posOffset>
                </wp:positionH>
                <wp:positionV relativeFrom="paragraph">
                  <wp:posOffset>95250</wp:posOffset>
                </wp:positionV>
                <wp:extent cx="2533650" cy="21526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2152650"/>
                        </a:xfrm>
                        <a:prstGeom prst="rect">
                          <a:avLst/>
                        </a:prstGeom>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a:ln w="12700" cap="flat" cmpd="sng" algn="ctr">
                          <a:solidFill>
                            <a:srgbClr val="5B9BD5"/>
                          </a:solidFill>
                          <a:prstDash val="solid"/>
                          <a:miter lim="800000"/>
                        </a:ln>
                        <a:effectLst/>
                      </wps:spPr>
                      <wps:txbx>
                        <w:txbxContent>
                          <w:p w14:paraId="5D698628" w14:textId="77777777" w:rsidR="008429DD" w:rsidRPr="00C70279" w:rsidRDefault="008429DD" w:rsidP="00204C5B">
                            <w:pPr>
                              <w:jc w:val="center"/>
                              <w:rPr>
                                <w:rFonts w:cs="Arial"/>
                                <w:b/>
                                <w:sz w:val="32"/>
                                <w:szCs w:val="32"/>
                              </w:rPr>
                            </w:pPr>
                            <w:r w:rsidRPr="00C70279">
                              <w:rPr>
                                <w:rFonts w:cs="Arial"/>
                                <w:b/>
                                <w:sz w:val="32"/>
                                <w:szCs w:val="32"/>
                              </w:rPr>
                              <w:t>Consumers</w:t>
                            </w:r>
                          </w:p>
                          <w:p w14:paraId="344CA71D" w14:textId="7FB2CB61" w:rsidR="008429DD" w:rsidRDefault="008429DD" w:rsidP="00204C5B">
                            <w:pPr>
                              <w:pStyle w:val="ListParagraph"/>
                              <w:numPr>
                                <w:ilvl w:val="0"/>
                                <w:numId w:val="13"/>
                              </w:numPr>
                              <w:spacing w:after="160" w:line="259" w:lineRule="auto"/>
                              <w:ind w:left="284" w:hanging="284"/>
                              <w:rPr>
                                <w:rFonts w:cs="Arial"/>
                                <w:sz w:val="20"/>
                                <w:szCs w:val="20"/>
                                <w:lang w:val="en-NZ"/>
                              </w:rPr>
                            </w:pPr>
                            <w:r w:rsidRPr="00C70279">
                              <w:rPr>
                                <w:rFonts w:cs="Arial"/>
                                <w:sz w:val="20"/>
                                <w:szCs w:val="20"/>
                                <w:lang w:val="en-NZ"/>
                              </w:rPr>
                              <w:t xml:space="preserve">Daily </w:t>
                            </w:r>
                            <w:r>
                              <w:rPr>
                                <w:rFonts w:cs="Arial"/>
                                <w:sz w:val="20"/>
                                <w:szCs w:val="20"/>
                                <w:lang w:val="en-NZ"/>
                              </w:rPr>
                              <w:t xml:space="preserve">assessment of nutrient intake by children </w:t>
                            </w:r>
                            <w:r w:rsidRPr="003C21B9">
                              <w:rPr>
                                <w:rFonts w:cs="Arial"/>
                                <w:sz w:val="20"/>
                                <w:szCs w:val="20"/>
                                <w:lang w:val="en-NZ"/>
                              </w:rPr>
                              <w:t xml:space="preserve">and adults </w:t>
                            </w:r>
                            <w:r>
                              <w:rPr>
                                <w:rFonts w:cs="Arial"/>
                                <w:sz w:val="20"/>
                                <w:szCs w:val="20"/>
                                <w:lang w:val="en-NZ"/>
                              </w:rPr>
                              <w:t>with diseases requiring restrictive diets</w:t>
                            </w:r>
                          </w:p>
                          <w:p w14:paraId="7BB3E3AA" w14:textId="77777777" w:rsidR="008429DD" w:rsidRDefault="008429DD" w:rsidP="00204C5B">
                            <w:pPr>
                              <w:pStyle w:val="ListParagraph"/>
                              <w:numPr>
                                <w:ilvl w:val="0"/>
                                <w:numId w:val="13"/>
                              </w:numPr>
                              <w:spacing w:after="160" w:line="259" w:lineRule="auto"/>
                              <w:ind w:left="284" w:hanging="284"/>
                              <w:rPr>
                                <w:rFonts w:cs="Arial"/>
                                <w:sz w:val="20"/>
                                <w:szCs w:val="20"/>
                                <w:lang w:val="en-NZ"/>
                              </w:rPr>
                            </w:pPr>
                            <w:r>
                              <w:rPr>
                                <w:rFonts w:cs="Arial"/>
                                <w:sz w:val="20"/>
                                <w:szCs w:val="20"/>
                                <w:lang w:val="en-NZ"/>
                              </w:rPr>
                              <w:t>Nutrient content of foods in single serve portions</w:t>
                            </w:r>
                          </w:p>
                          <w:p w14:paraId="3F31F2AF" w14:textId="2E994B59" w:rsidR="008429DD" w:rsidRPr="00C70279" w:rsidRDefault="008429DD" w:rsidP="00204C5B">
                            <w:pPr>
                              <w:pStyle w:val="ListParagraph"/>
                              <w:numPr>
                                <w:ilvl w:val="0"/>
                                <w:numId w:val="13"/>
                              </w:numPr>
                              <w:spacing w:after="160" w:line="259" w:lineRule="auto"/>
                              <w:ind w:left="284" w:hanging="284"/>
                              <w:rPr>
                                <w:rFonts w:cs="Arial"/>
                                <w:sz w:val="20"/>
                                <w:szCs w:val="20"/>
                                <w:lang w:val="en-NZ"/>
                              </w:rPr>
                            </w:pPr>
                            <w:r>
                              <w:rPr>
                                <w:rFonts w:cs="Arial"/>
                                <w:sz w:val="20"/>
                                <w:szCs w:val="20"/>
                                <w:lang w:val="en-NZ"/>
                              </w:rPr>
                              <w:t>Nutrient content of a stated serving of food in context of number of servings per package and servings consumed</w:t>
                            </w:r>
                          </w:p>
                          <w:p w14:paraId="7A37FC10" w14:textId="77777777" w:rsidR="008429DD" w:rsidRPr="00D5768F" w:rsidRDefault="008429DD" w:rsidP="00204C5B">
                            <w:pPr>
                              <w:pStyle w:val="ListParagraph"/>
                              <w:numPr>
                                <w:ilvl w:val="0"/>
                                <w:numId w:val="13"/>
                              </w:numPr>
                              <w:spacing w:after="160" w:line="259" w:lineRule="auto"/>
                              <w:ind w:left="284" w:hanging="284"/>
                              <w:rPr>
                                <w:rFonts w:cs="Arial"/>
                                <w:sz w:val="20"/>
                                <w:szCs w:val="20"/>
                                <w:lang w:val="en-NZ"/>
                              </w:rPr>
                            </w:pPr>
                            <w:r>
                              <w:rPr>
                                <w:rFonts w:cs="Arial"/>
                                <w:sz w:val="20"/>
                                <w:szCs w:val="20"/>
                                <w:lang w:val="en-NZ"/>
                              </w:rPr>
                              <w:t>Comparison of nutrient content of foods in single serve portions and foods with similar serving sizes</w:t>
                            </w:r>
                          </w:p>
                          <w:p w14:paraId="50CDDF82" w14:textId="77777777" w:rsidR="008429DD" w:rsidRPr="003C21B9" w:rsidRDefault="008429DD" w:rsidP="00204C5B">
                            <w:pPr>
                              <w:rPr>
                                <w:lang w:val="en-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62.5pt;margin-top:7.5pt;width:199.5pt;height:16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" fillcolor="#9ac3f6" strokecolor="#5b9bd5" strokeweight="1pt">
                <v:fill color2="#e1ecfb" colors="0 #9ac3f6;.5 #c1d8f8;1 #e1ecfb" focus="100%" type="gradient">
                  <o:fill v:ext="view" type="gradientUnscaled"/>
                </v:fill>
                <v:path arrowok="t"/>
                <v:textbox>
                  <w:txbxContent>
                    <w:p w14:paraId="5D698628" w14:textId="77777777" w:rsidR="008429DD" w:rsidRPr="00C70279" w:rsidRDefault="008429DD" w:rsidP="00204C5B">
                      <w:pPr>
                        <w:jc w:val="center"/>
                        <w:rPr>
                          <w:rFonts w:cs="Arial"/>
                          <w:b/>
                          <w:sz w:val="32"/>
                          <w:szCs w:val="32"/>
                        </w:rPr>
                      </w:pPr>
                      <w:r w:rsidRPr="00C70279">
                        <w:rPr>
                          <w:rFonts w:cs="Arial"/>
                          <w:b/>
                          <w:sz w:val="32"/>
                          <w:szCs w:val="32"/>
                        </w:rPr>
                        <w:t>Consumers</w:t>
                      </w:r>
                    </w:p>
                    <w:p w14:paraId="344CA71D" w14:textId="7FB2CB61" w:rsidR="008429DD" w:rsidRDefault="008429DD" w:rsidP="00204C5B">
                      <w:pPr>
                        <w:pStyle w:val="ListParagraph"/>
                        <w:numPr>
                          <w:ilvl w:val="0"/>
                          <w:numId w:val="13"/>
                        </w:numPr>
                        <w:spacing w:after="160" w:line="259" w:lineRule="auto"/>
                        <w:ind w:left="284" w:hanging="284"/>
                        <w:rPr>
                          <w:rFonts w:cs="Arial"/>
                          <w:sz w:val="20"/>
                          <w:szCs w:val="20"/>
                          <w:lang w:val="en-NZ"/>
                        </w:rPr>
                      </w:pPr>
                      <w:r w:rsidRPr="00C70279">
                        <w:rPr>
                          <w:rFonts w:cs="Arial"/>
                          <w:sz w:val="20"/>
                          <w:szCs w:val="20"/>
                          <w:lang w:val="en-NZ"/>
                        </w:rPr>
                        <w:t xml:space="preserve">Daily </w:t>
                      </w:r>
                      <w:r>
                        <w:rPr>
                          <w:rFonts w:cs="Arial"/>
                          <w:sz w:val="20"/>
                          <w:szCs w:val="20"/>
                          <w:lang w:val="en-NZ"/>
                        </w:rPr>
                        <w:t xml:space="preserve">assessment of nutrient intake by children </w:t>
                      </w:r>
                      <w:r w:rsidRPr="003C21B9">
                        <w:rPr>
                          <w:rFonts w:cs="Arial"/>
                          <w:sz w:val="20"/>
                          <w:szCs w:val="20"/>
                          <w:lang w:val="en-NZ"/>
                        </w:rPr>
                        <w:t xml:space="preserve">and adults </w:t>
                      </w:r>
                      <w:r>
                        <w:rPr>
                          <w:rFonts w:cs="Arial"/>
                          <w:sz w:val="20"/>
                          <w:szCs w:val="20"/>
                          <w:lang w:val="en-NZ"/>
                        </w:rPr>
                        <w:t>with diseases requiring restrictive diets</w:t>
                      </w:r>
                    </w:p>
                    <w:p w14:paraId="7BB3E3AA" w14:textId="77777777" w:rsidR="008429DD" w:rsidRDefault="008429DD" w:rsidP="00204C5B">
                      <w:pPr>
                        <w:pStyle w:val="ListParagraph"/>
                        <w:numPr>
                          <w:ilvl w:val="0"/>
                          <w:numId w:val="13"/>
                        </w:numPr>
                        <w:spacing w:after="160" w:line="259" w:lineRule="auto"/>
                        <w:ind w:left="284" w:hanging="284"/>
                        <w:rPr>
                          <w:rFonts w:cs="Arial"/>
                          <w:sz w:val="20"/>
                          <w:szCs w:val="20"/>
                          <w:lang w:val="en-NZ"/>
                        </w:rPr>
                      </w:pPr>
                      <w:r>
                        <w:rPr>
                          <w:rFonts w:cs="Arial"/>
                          <w:sz w:val="20"/>
                          <w:szCs w:val="20"/>
                          <w:lang w:val="en-NZ"/>
                        </w:rPr>
                        <w:t>Nutrient content of foods in single serve portions</w:t>
                      </w:r>
                    </w:p>
                    <w:p w14:paraId="3F31F2AF" w14:textId="2E994B59" w:rsidR="008429DD" w:rsidRPr="00C70279" w:rsidRDefault="008429DD" w:rsidP="00204C5B">
                      <w:pPr>
                        <w:pStyle w:val="ListParagraph"/>
                        <w:numPr>
                          <w:ilvl w:val="0"/>
                          <w:numId w:val="13"/>
                        </w:numPr>
                        <w:spacing w:after="160" w:line="259" w:lineRule="auto"/>
                        <w:ind w:left="284" w:hanging="284"/>
                        <w:rPr>
                          <w:rFonts w:cs="Arial"/>
                          <w:sz w:val="20"/>
                          <w:szCs w:val="20"/>
                          <w:lang w:val="en-NZ"/>
                        </w:rPr>
                      </w:pPr>
                      <w:r>
                        <w:rPr>
                          <w:rFonts w:cs="Arial"/>
                          <w:sz w:val="20"/>
                          <w:szCs w:val="20"/>
                          <w:lang w:val="en-NZ"/>
                        </w:rPr>
                        <w:t>Nutrient content of a stated serving of food in context of number of servings per package and servings consumed</w:t>
                      </w:r>
                    </w:p>
                    <w:p w14:paraId="7A37FC10" w14:textId="77777777" w:rsidR="008429DD" w:rsidRPr="00D5768F" w:rsidRDefault="008429DD" w:rsidP="00204C5B">
                      <w:pPr>
                        <w:pStyle w:val="ListParagraph"/>
                        <w:numPr>
                          <w:ilvl w:val="0"/>
                          <w:numId w:val="13"/>
                        </w:numPr>
                        <w:spacing w:after="160" w:line="259" w:lineRule="auto"/>
                        <w:ind w:left="284" w:hanging="284"/>
                        <w:rPr>
                          <w:rFonts w:cs="Arial"/>
                          <w:sz w:val="20"/>
                          <w:szCs w:val="20"/>
                          <w:lang w:val="en-NZ"/>
                        </w:rPr>
                      </w:pPr>
                      <w:r>
                        <w:rPr>
                          <w:rFonts w:cs="Arial"/>
                          <w:sz w:val="20"/>
                          <w:szCs w:val="20"/>
                          <w:lang w:val="en-NZ"/>
                        </w:rPr>
                        <w:t>Comparison of nutrient content of foods in single serve portions and foods with similar serving sizes</w:t>
                      </w:r>
                    </w:p>
                    <w:p w14:paraId="50CDDF82" w14:textId="77777777" w:rsidR="008429DD" w:rsidRPr="003C21B9" w:rsidRDefault="008429DD" w:rsidP="00204C5B">
                      <w:pPr>
                        <w:rPr>
                          <w:lang w:val="en-NZ"/>
                        </w:rPr>
                      </w:pPr>
                    </w:p>
                  </w:txbxContent>
                </v:textbox>
              </v:shape>
            </w:pict>
          </mc:Fallback>
        </mc:AlternateContent>
      </w:r>
    </w:p>
    <w:p w14:paraId="2DDC816A" w14:textId="46D066EE" w:rsidR="00204C5B" w:rsidRDefault="00204C5B">
      <w:pPr>
        <w:widowControl/>
        <w:rPr>
          <w:lang w:bidi="ar-SA"/>
        </w:rPr>
      </w:pPr>
    </w:p>
    <w:p w14:paraId="7F5D8D5B" w14:textId="77777777" w:rsidR="00204C5B" w:rsidRDefault="00204C5B">
      <w:pPr>
        <w:widowControl/>
        <w:rPr>
          <w:lang w:bidi="ar-SA"/>
        </w:rPr>
      </w:pPr>
    </w:p>
    <w:p w14:paraId="4304D1B2" w14:textId="7E8D0E84" w:rsidR="00204C5B" w:rsidRDefault="00204C5B">
      <w:pPr>
        <w:widowControl/>
        <w:rPr>
          <w:lang w:bidi="ar-SA"/>
        </w:rPr>
      </w:pPr>
    </w:p>
    <w:p w14:paraId="2AED7A40" w14:textId="0472DDDC" w:rsidR="00204C5B" w:rsidRDefault="003D1226">
      <w:pPr>
        <w:widowControl/>
        <w:rPr>
          <w:lang w:bidi="ar-SA"/>
        </w:rPr>
      </w:pPr>
      <w:r>
        <w:rPr>
          <w:rFonts w:asciiTheme="minorHAnsi" w:hAnsiTheme="minorHAnsi"/>
          <w:noProof/>
          <w:szCs w:val="22"/>
          <w:lang w:eastAsia="en-GB" w:bidi="ar-SA"/>
        </w:rPr>
        <mc:AlternateContent>
          <mc:Choice Requires="wps">
            <w:drawing>
              <wp:anchor distT="0" distB="0" distL="114300" distR="114300" simplePos="0" relativeHeight="251658244" behindDoc="1" locked="0" layoutInCell="1" allowOverlap="1" wp14:anchorId="524F172F" wp14:editId="45B5F6CC">
                <wp:simplePos x="0" y="0"/>
                <wp:positionH relativeFrom="column">
                  <wp:posOffset>154305</wp:posOffset>
                </wp:positionH>
                <wp:positionV relativeFrom="paragraph">
                  <wp:posOffset>37465</wp:posOffset>
                </wp:positionV>
                <wp:extent cx="2957195" cy="2181860"/>
                <wp:effectExtent l="0" t="0" r="14605"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7195" cy="2181860"/>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5400000" scaled="1"/>
                          <a:tileRect/>
                        </a:gradFill>
                        <a:ln w="19050" cap="flat" cmpd="sng" algn="ctr">
                          <a:solidFill>
                            <a:srgbClr val="ED7D31"/>
                          </a:solidFill>
                          <a:prstDash val="solid"/>
                          <a:miter lim="800000"/>
                        </a:ln>
                        <a:effectLst/>
                      </wps:spPr>
                      <wps:txbx>
                        <w:txbxContent>
                          <w:p w14:paraId="75AC03A8" w14:textId="77777777" w:rsidR="008429DD" w:rsidRPr="00C70279" w:rsidRDefault="008429DD" w:rsidP="00204C5B">
                            <w:pPr>
                              <w:jc w:val="center"/>
                              <w:rPr>
                                <w:rFonts w:cs="Arial"/>
                                <w:b/>
                                <w:sz w:val="32"/>
                                <w:szCs w:val="32"/>
                              </w:rPr>
                            </w:pPr>
                            <w:r w:rsidRPr="00C70279">
                              <w:rPr>
                                <w:rFonts w:cs="Arial"/>
                                <w:b/>
                                <w:sz w:val="32"/>
                                <w:szCs w:val="32"/>
                              </w:rPr>
                              <w:t>Public Health</w:t>
                            </w:r>
                          </w:p>
                          <w:p w14:paraId="63152EE1" w14:textId="175141AE" w:rsidR="008429DD" w:rsidRPr="0096465B" w:rsidRDefault="008429DD" w:rsidP="00204C5B">
                            <w:pPr>
                              <w:pStyle w:val="ListParagraph"/>
                              <w:numPr>
                                <w:ilvl w:val="0"/>
                                <w:numId w:val="12"/>
                              </w:numPr>
                              <w:spacing w:after="160" w:line="259" w:lineRule="auto"/>
                              <w:ind w:left="284" w:hanging="284"/>
                              <w:rPr>
                                <w:rFonts w:cs="Arial"/>
                                <w:sz w:val="20"/>
                                <w:szCs w:val="20"/>
                                <w:lang w:val="en-NZ"/>
                              </w:rPr>
                            </w:pPr>
                            <w:r w:rsidRPr="0096465B">
                              <w:rPr>
                                <w:rFonts w:cs="Arial"/>
                                <w:sz w:val="20"/>
                                <w:szCs w:val="20"/>
                                <w:lang w:val="en-NZ"/>
                              </w:rPr>
                              <w:t>Patient education (</w:t>
                            </w:r>
                            <w:r>
                              <w:rPr>
                                <w:rFonts w:cs="Arial"/>
                                <w:sz w:val="20"/>
                                <w:szCs w:val="20"/>
                                <w:lang w:val="en-NZ"/>
                              </w:rPr>
                              <w:t xml:space="preserve">e.g. diabetes, </w:t>
                            </w:r>
                            <w:r w:rsidRPr="0096465B">
                              <w:rPr>
                                <w:rFonts w:cs="Arial"/>
                                <w:sz w:val="20"/>
                                <w:szCs w:val="20"/>
                                <w:lang w:val="en-NZ"/>
                              </w:rPr>
                              <w:t>cancer, inborn errors of metabolism)</w:t>
                            </w:r>
                          </w:p>
                          <w:p w14:paraId="3EB44854" w14:textId="3839685C" w:rsidR="008429DD" w:rsidRDefault="008429DD" w:rsidP="00204C5B">
                            <w:pPr>
                              <w:pStyle w:val="ListParagraph"/>
                              <w:numPr>
                                <w:ilvl w:val="0"/>
                                <w:numId w:val="12"/>
                              </w:numPr>
                              <w:spacing w:after="160" w:line="259" w:lineRule="auto"/>
                              <w:ind w:left="284" w:hanging="284"/>
                              <w:rPr>
                                <w:rFonts w:cs="Arial"/>
                                <w:sz w:val="20"/>
                                <w:szCs w:val="20"/>
                                <w:lang w:val="en-NZ"/>
                              </w:rPr>
                            </w:pPr>
                            <w:r>
                              <w:rPr>
                                <w:rFonts w:cs="Arial"/>
                                <w:sz w:val="20"/>
                                <w:szCs w:val="20"/>
                                <w:lang w:val="en-NZ"/>
                              </w:rPr>
                              <w:t>Nutrition education of the general population</w:t>
                            </w:r>
                          </w:p>
                          <w:p w14:paraId="446526FC" w14:textId="20902FE1" w:rsidR="008429DD" w:rsidRDefault="008429DD" w:rsidP="00204C5B">
                            <w:pPr>
                              <w:pStyle w:val="ListParagraph"/>
                              <w:numPr>
                                <w:ilvl w:val="0"/>
                                <w:numId w:val="12"/>
                              </w:numPr>
                              <w:spacing w:after="160" w:line="259" w:lineRule="auto"/>
                              <w:ind w:left="284" w:hanging="284"/>
                              <w:rPr>
                                <w:rFonts w:cs="Arial"/>
                                <w:sz w:val="20"/>
                                <w:szCs w:val="20"/>
                                <w:lang w:val="en-NZ"/>
                              </w:rPr>
                            </w:pPr>
                            <w:r>
                              <w:rPr>
                                <w:rFonts w:cs="Arial"/>
                                <w:sz w:val="20"/>
                                <w:szCs w:val="20"/>
                                <w:lang w:val="en-NZ"/>
                              </w:rPr>
                              <w:t>Healthy Kids Association programme for food in school canteens</w:t>
                            </w:r>
                          </w:p>
                          <w:p w14:paraId="77956384" w14:textId="37B433D3" w:rsidR="008429DD" w:rsidRDefault="008429DD" w:rsidP="00204C5B">
                            <w:pPr>
                              <w:pStyle w:val="ListParagraph"/>
                              <w:numPr>
                                <w:ilvl w:val="0"/>
                                <w:numId w:val="12"/>
                              </w:numPr>
                              <w:spacing w:after="160" w:line="259" w:lineRule="auto"/>
                              <w:ind w:left="284" w:hanging="284"/>
                              <w:rPr>
                                <w:rFonts w:cs="Arial"/>
                                <w:sz w:val="20"/>
                                <w:szCs w:val="20"/>
                                <w:lang w:val="en-NZ"/>
                              </w:rPr>
                            </w:pPr>
                            <w:r>
                              <w:rPr>
                                <w:rFonts w:cs="Arial"/>
                                <w:sz w:val="20"/>
                                <w:szCs w:val="20"/>
                                <w:lang w:val="en-NZ"/>
                              </w:rPr>
                              <w:t>Heart Foundation’s Pick-the-Tick programme</w:t>
                            </w:r>
                          </w:p>
                          <w:p w14:paraId="3917B437" w14:textId="77777777" w:rsidR="008429DD" w:rsidRDefault="008429DD" w:rsidP="00204C5B">
                            <w:pPr>
                              <w:pStyle w:val="ListParagraph"/>
                              <w:numPr>
                                <w:ilvl w:val="0"/>
                                <w:numId w:val="12"/>
                              </w:numPr>
                              <w:spacing w:after="160" w:line="259" w:lineRule="auto"/>
                              <w:ind w:left="284" w:hanging="284"/>
                              <w:rPr>
                                <w:rFonts w:cs="Arial"/>
                                <w:sz w:val="20"/>
                                <w:szCs w:val="20"/>
                                <w:lang w:val="en-NZ"/>
                              </w:rPr>
                            </w:pPr>
                            <w:r>
                              <w:rPr>
                                <w:rFonts w:cs="Arial"/>
                                <w:sz w:val="20"/>
                                <w:szCs w:val="20"/>
                                <w:lang w:val="en-NZ"/>
                              </w:rPr>
                              <w:t>Policy for sale of food in hospital premises in New Zealand</w:t>
                            </w:r>
                          </w:p>
                          <w:p w14:paraId="0D76B30A" w14:textId="3362083D" w:rsidR="008429DD" w:rsidRPr="003D1226" w:rsidRDefault="008429DD" w:rsidP="003D1226">
                            <w:pPr>
                              <w:pStyle w:val="ListParagraph"/>
                              <w:numPr>
                                <w:ilvl w:val="0"/>
                                <w:numId w:val="12"/>
                              </w:numPr>
                              <w:spacing w:after="160" w:line="259" w:lineRule="auto"/>
                              <w:ind w:left="284" w:hanging="284"/>
                              <w:rPr>
                                <w:rFonts w:cs="Arial"/>
                                <w:sz w:val="20"/>
                                <w:szCs w:val="20"/>
                                <w:lang w:val="en-NZ"/>
                              </w:rPr>
                            </w:pPr>
                            <w:r w:rsidRPr="003D1226">
                              <w:rPr>
                                <w:sz w:val="20"/>
                                <w:szCs w:val="20"/>
                              </w:rPr>
                              <w:t>Australian state government food and drink policy/guidelines for school canteens and hospitals.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12.15pt;margin-top:2.95pt;width:232.85pt;height:171.8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" fillcolor="#ff809c" strokecolor="#ed7d31" strokeweight="1.5pt">
                <v:fill color2="#ffdae1" rotate="t" colors="0 #ff809c;.5 #ffb3c1;1 #ffdae1" focus="100%" type="gradient"/>
                <v:path arrowok="t"/>
                <v:textbox>
                  <w:txbxContent>
                    <w:p w14:paraId="75AC03A8" w14:textId="77777777" w:rsidR="008429DD" w:rsidRPr="00C70279" w:rsidRDefault="008429DD" w:rsidP="00204C5B">
                      <w:pPr>
                        <w:jc w:val="center"/>
                        <w:rPr>
                          <w:rFonts w:cs="Arial"/>
                          <w:b/>
                          <w:sz w:val="32"/>
                          <w:szCs w:val="32"/>
                        </w:rPr>
                      </w:pPr>
                      <w:r w:rsidRPr="00C70279">
                        <w:rPr>
                          <w:rFonts w:cs="Arial"/>
                          <w:b/>
                          <w:sz w:val="32"/>
                          <w:szCs w:val="32"/>
                        </w:rPr>
                        <w:t>Public Health</w:t>
                      </w:r>
                    </w:p>
                    <w:p w14:paraId="63152EE1" w14:textId="175141AE" w:rsidR="008429DD" w:rsidRPr="0096465B" w:rsidRDefault="008429DD" w:rsidP="00204C5B">
                      <w:pPr>
                        <w:pStyle w:val="ListParagraph"/>
                        <w:numPr>
                          <w:ilvl w:val="0"/>
                          <w:numId w:val="12"/>
                        </w:numPr>
                        <w:spacing w:after="160" w:line="259" w:lineRule="auto"/>
                        <w:ind w:left="284" w:hanging="284"/>
                        <w:rPr>
                          <w:rFonts w:cs="Arial"/>
                          <w:sz w:val="20"/>
                          <w:szCs w:val="20"/>
                          <w:lang w:val="en-NZ"/>
                        </w:rPr>
                      </w:pPr>
                      <w:r w:rsidRPr="0096465B">
                        <w:rPr>
                          <w:rFonts w:cs="Arial"/>
                          <w:sz w:val="20"/>
                          <w:szCs w:val="20"/>
                          <w:lang w:val="en-NZ"/>
                        </w:rPr>
                        <w:t>Patient education (</w:t>
                      </w:r>
                      <w:r>
                        <w:rPr>
                          <w:rFonts w:cs="Arial"/>
                          <w:sz w:val="20"/>
                          <w:szCs w:val="20"/>
                          <w:lang w:val="en-NZ"/>
                        </w:rPr>
                        <w:t xml:space="preserve">e.g. diabetes, </w:t>
                      </w:r>
                      <w:r w:rsidRPr="0096465B">
                        <w:rPr>
                          <w:rFonts w:cs="Arial"/>
                          <w:sz w:val="20"/>
                          <w:szCs w:val="20"/>
                          <w:lang w:val="en-NZ"/>
                        </w:rPr>
                        <w:t>cancer, inborn errors of metabolism)</w:t>
                      </w:r>
                    </w:p>
                    <w:p w14:paraId="3EB44854" w14:textId="3839685C" w:rsidR="008429DD" w:rsidRDefault="008429DD" w:rsidP="00204C5B">
                      <w:pPr>
                        <w:pStyle w:val="ListParagraph"/>
                        <w:numPr>
                          <w:ilvl w:val="0"/>
                          <w:numId w:val="12"/>
                        </w:numPr>
                        <w:spacing w:after="160" w:line="259" w:lineRule="auto"/>
                        <w:ind w:left="284" w:hanging="284"/>
                        <w:rPr>
                          <w:rFonts w:cs="Arial"/>
                          <w:sz w:val="20"/>
                          <w:szCs w:val="20"/>
                          <w:lang w:val="en-NZ"/>
                        </w:rPr>
                      </w:pPr>
                      <w:r>
                        <w:rPr>
                          <w:rFonts w:cs="Arial"/>
                          <w:sz w:val="20"/>
                          <w:szCs w:val="20"/>
                          <w:lang w:val="en-NZ"/>
                        </w:rPr>
                        <w:t>Nutrition education of the general population</w:t>
                      </w:r>
                    </w:p>
                    <w:p w14:paraId="446526FC" w14:textId="20902FE1" w:rsidR="008429DD" w:rsidRDefault="008429DD" w:rsidP="00204C5B">
                      <w:pPr>
                        <w:pStyle w:val="ListParagraph"/>
                        <w:numPr>
                          <w:ilvl w:val="0"/>
                          <w:numId w:val="12"/>
                        </w:numPr>
                        <w:spacing w:after="160" w:line="259" w:lineRule="auto"/>
                        <w:ind w:left="284" w:hanging="284"/>
                        <w:rPr>
                          <w:rFonts w:cs="Arial"/>
                          <w:sz w:val="20"/>
                          <w:szCs w:val="20"/>
                          <w:lang w:val="en-NZ"/>
                        </w:rPr>
                      </w:pPr>
                      <w:r>
                        <w:rPr>
                          <w:rFonts w:cs="Arial"/>
                          <w:sz w:val="20"/>
                          <w:szCs w:val="20"/>
                          <w:lang w:val="en-NZ"/>
                        </w:rPr>
                        <w:t>Healthy Kids Association programme for food in school canteens</w:t>
                      </w:r>
                    </w:p>
                    <w:p w14:paraId="77956384" w14:textId="37B433D3" w:rsidR="008429DD" w:rsidRDefault="008429DD" w:rsidP="00204C5B">
                      <w:pPr>
                        <w:pStyle w:val="ListParagraph"/>
                        <w:numPr>
                          <w:ilvl w:val="0"/>
                          <w:numId w:val="12"/>
                        </w:numPr>
                        <w:spacing w:after="160" w:line="259" w:lineRule="auto"/>
                        <w:ind w:left="284" w:hanging="284"/>
                        <w:rPr>
                          <w:rFonts w:cs="Arial"/>
                          <w:sz w:val="20"/>
                          <w:szCs w:val="20"/>
                          <w:lang w:val="en-NZ"/>
                        </w:rPr>
                      </w:pPr>
                      <w:r>
                        <w:rPr>
                          <w:rFonts w:cs="Arial"/>
                          <w:sz w:val="20"/>
                          <w:szCs w:val="20"/>
                          <w:lang w:val="en-NZ"/>
                        </w:rPr>
                        <w:t>Heart Foundation’s Pick-the-Tick programme</w:t>
                      </w:r>
                    </w:p>
                    <w:p w14:paraId="3917B437" w14:textId="77777777" w:rsidR="008429DD" w:rsidRDefault="008429DD" w:rsidP="00204C5B">
                      <w:pPr>
                        <w:pStyle w:val="ListParagraph"/>
                        <w:numPr>
                          <w:ilvl w:val="0"/>
                          <w:numId w:val="12"/>
                        </w:numPr>
                        <w:spacing w:after="160" w:line="259" w:lineRule="auto"/>
                        <w:ind w:left="284" w:hanging="284"/>
                        <w:rPr>
                          <w:rFonts w:cs="Arial"/>
                          <w:sz w:val="20"/>
                          <w:szCs w:val="20"/>
                          <w:lang w:val="en-NZ"/>
                        </w:rPr>
                      </w:pPr>
                      <w:r>
                        <w:rPr>
                          <w:rFonts w:cs="Arial"/>
                          <w:sz w:val="20"/>
                          <w:szCs w:val="20"/>
                          <w:lang w:val="en-NZ"/>
                        </w:rPr>
                        <w:t>Policy for sale of food in hospital premises in New Zealand</w:t>
                      </w:r>
                    </w:p>
                    <w:p w14:paraId="0D76B30A" w14:textId="3362083D" w:rsidR="008429DD" w:rsidRPr="003D1226" w:rsidRDefault="008429DD" w:rsidP="003D1226">
                      <w:pPr>
                        <w:pStyle w:val="ListParagraph"/>
                        <w:numPr>
                          <w:ilvl w:val="0"/>
                          <w:numId w:val="12"/>
                        </w:numPr>
                        <w:spacing w:after="160" w:line="259" w:lineRule="auto"/>
                        <w:ind w:left="284" w:hanging="284"/>
                        <w:rPr>
                          <w:rFonts w:cs="Arial"/>
                          <w:sz w:val="20"/>
                          <w:szCs w:val="20"/>
                          <w:lang w:val="en-NZ"/>
                        </w:rPr>
                      </w:pPr>
                      <w:r w:rsidRPr="003D1226">
                        <w:rPr>
                          <w:sz w:val="20"/>
                          <w:szCs w:val="20"/>
                        </w:rPr>
                        <w:t>Australian state government food and drink policy/guidelines for school canteens and hospitals.</w:t>
                      </w:r>
                    </w:p>
                  </w:txbxContent>
                </v:textbox>
              </v:shape>
            </w:pict>
          </mc:Fallback>
        </mc:AlternateContent>
      </w:r>
    </w:p>
    <w:p w14:paraId="7377A1E5" w14:textId="77733B4D" w:rsidR="00204C5B" w:rsidRDefault="00204C5B">
      <w:pPr>
        <w:widowControl/>
        <w:rPr>
          <w:lang w:bidi="ar-SA"/>
        </w:rPr>
      </w:pPr>
    </w:p>
    <w:p w14:paraId="4F8AB451" w14:textId="77777777" w:rsidR="00204C5B" w:rsidRDefault="00204C5B">
      <w:pPr>
        <w:widowControl/>
        <w:rPr>
          <w:lang w:bidi="ar-SA"/>
        </w:rPr>
      </w:pPr>
    </w:p>
    <w:p w14:paraId="17347772" w14:textId="386CB59C" w:rsidR="00204C5B" w:rsidRDefault="00204C5B">
      <w:pPr>
        <w:widowControl/>
        <w:rPr>
          <w:lang w:bidi="ar-SA"/>
        </w:rPr>
      </w:pPr>
    </w:p>
    <w:p w14:paraId="52D71918" w14:textId="77777777" w:rsidR="00204C5B" w:rsidRDefault="00204C5B">
      <w:pPr>
        <w:widowControl/>
        <w:rPr>
          <w:lang w:bidi="ar-SA"/>
        </w:rPr>
      </w:pPr>
    </w:p>
    <w:p w14:paraId="20EA8EE7" w14:textId="77777777" w:rsidR="00204C5B" w:rsidRDefault="00204C5B">
      <w:pPr>
        <w:widowControl/>
        <w:rPr>
          <w:lang w:bidi="ar-SA"/>
        </w:rPr>
      </w:pPr>
    </w:p>
    <w:p w14:paraId="6178FDF2" w14:textId="77777777" w:rsidR="00204C5B" w:rsidRDefault="00204C5B">
      <w:pPr>
        <w:widowControl/>
        <w:rPr>
          <w:lang w:bidi="ar-SA"/>
        </w:rPr>
      </w:pPr>
    </w:p>
    <w:p w14:paraId="79B3186F" w14:textId="77777777" w:rsidR="00204C5B" w:rsidRDefault="00204C5B">
      <w:pPr>
        <w:widowControl/>
        <w:rPr>
          <w:lang w:bidi="ar-SA"/>
        </w:rPr>
      </w:pPr>
    </w:p>
    <w:p w14:paraId="66BD4D43" w14:textId="77777777" w:rsidR="00204C5B" w:rsidRDefault="00204C5B">
      <w:pPr>
        <w:widowControl/>
        <w:rPr>
          <w:lang w:bidi="ar-SA"/>
        </w:rPr>
      </w:pPr>
    </w:p>
    <w:p w14:paraId="0749F59C" w14:textId="77777777" w:rsidR="00204C5B" w:rsidRDefault="00204C5B">
      <w:pPr>
        <w:widowControl/>
        <w:rPr>
          <w:lang w:bidi="ar-SA"/>
        </w:rPr>
      </w:pPr>
    </w:p>
    <w:p w14:paraId="3B601539" w14:textId="3B01CF0F" w:rsidR="00204C5B" w:rsidRDefault="001D561E">
      <w:pPr>
        <w:widowControl/>
        <w:rPr>
          <w:lang w:bidi="ar-SA"/>
        </w:rPr>
      </w:pPr>
      <w:r>
        <w:rPr>
          <w:rFonts w:asciiTheme="minorHAnsi" w:hAnsiTheme="minorHAnsi"/>
          <w:noProof/>
          <w:szCs w:val="22"/>
          <w:lang w:eastAsia="en-GB" w:bidi="ar-SA"/>
        </w:rPr>
        <mc:AlternateContent>
          <mc:Choice Requires="wps">
            <w:drawing>
              <wp:anchor distT="0" distB="0" distL="114300" distR="114300" simplePos="0" relativeHeight="251658241" behindDoc="0" locked="0" layoutInCell="1" allowOverlap="1" wp14:anchorId="6F2059AA" wp14:editId="2E7D4F2A">
                <wp:simplePos x="0" y="0"/>
                <wp:positionH relativeFrom="column">
                  <wp:posOffset>3905250</wp:posOffset>
                </wp:positionH>
                <wp:positionV relativeFrom="paragraph">
                  <wp:posOffset>-1270</wp:posOffset>
                </wp:positionV>
                <wp:extent cx="781050" cy="1438276"/>
                <wp:effectExtent l="0" t="38100" r="57150" b="285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1050" cy="1438276"/>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307.5pt;margin-top:-.1pt;width:61.5pt;height:113.2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" strokecolor="windowText" strokeweight=".5pt">
                <v:stroke endarrow="open" joinstyle="miter"/>
                <o:lock v:ext="edit" shapetype="f"/>
              </v:shape>
            </w:pict>
          </mc:Fallback>
        </mc:AlternateContent>
      </w:r>
    </w:p>
    <w:p w14:paraId="701B0458" w14:textId="77777777" w:rsidR="00204C5B" w:rsidRDefault="00204C5B">
      <w:pPr>
        <w:widowControl/>
        <w:rPr>
          <w:lang w:bidi="ar-SA"/>
        </w:rPr>
      </w:pPr>
    </w:p>
    <w:p w14:paraId="57829F99" w14:textId="5E6A9C7A" w:rsidR="00204C5B" w:rsidRDefault="00204C5B">
      <w:pPr>
        <w:widowControl/>
        <w:rPr>
          <w:lang w:bidi="ar-SA"/>
        </w:rPr>
      </w:pPr>
    </w:p>
    <w:p w14:paraId="4931A58B" w14:textId="43744B00" w:rsidR="00204C5B" w:rsidRDefault="00506A7C">
      <w:pPr>
        <w:widowControl/>
        <w:rPr>
          <w:lang w:bidi="ar-SA"/>
        </w:rPr>
      </w:pPr>
      <w:r>
        <w:rPr>
          <w:rFonts w:asciiTheme="minorHAnsi" w:hAnsiTheme="minorHAnsi"/>
          <w:noProof/>
          <w:szCs w:val="22"/>
          <w:lang w:eastAsia="en-GB" w:bidi="ar-SA"/>
        </w:rPr>
        <mc:AlternateContent>
          <mc:Choice Requires="wps">
            <w:drawing>
              <wp:anchor distT="0" distB="0" distL="114300" distR="114300" simplePos="0" relativeHeight="251658242" behindDoc="0" locked="0" layoutInCell="1" allowOverlap="1" wp14:anchorId="35623A61" wp14:editId="6447D448">
                <wp:simplePos x="0" y="0"/>
                <wp:positionH relativeFrom="column">
                  <wp:posOffset>1428750</wp:posOffset>
                </wp:positionH>
                <wp:positionV relativeFrom="paragraph">
                  <wp:posOffset>126365</wp:posOffset>
                </wp:positionV>
                <wp:extent cx="247015" cy="894080"/>
                <wp:effectExtent l="57150" t="38100" r="19685" b="203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7015" cy="89408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21" o:spid="_x0000_s1026" type="#_x0000_t32" style="position:absolute;margin-left:112.5pt;margin-top:9.95pt;width:19.45pt;height:70.4pt;flip:x 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" strokecolor="windowText" strokeweight=".5pt">
                <v:stroke endarrow="open" joinstyle="miter"/>
                <o:lock v:ext="edit" shapetype="f"/>
              </v:shape>
            </w:pict>
          </mc:Fallback>
        </mc:AlternateContent>
      </w:r>
    </w:p>
    <w:p w14:paraId="10A8B418" w14:textId="77777777" w:rsidR="00204C5B" w:rsidRDefault="00204C5B">
      <w:pPr>
        <w:widowControl/>
        <w:rPr>
          <w:lang w:bidi="ar-SA"/>
        </w:rPr>
      </w:pPr>
    </w:p>
    <w:p w14:paraId="3311B418" w14:textId="4B277304" w:rsidR="00204C5B" w:rsidRDefault="00204C5B">
      <w:pPr>
        <w:widowControl/>
        <w:rPr>
          <w:lang w:bidi="ar-SA"/>
        </w:rPr>
      </w:pPr>
    </w:p>
    <w:p w14:paraId="4936B91C" w14:textId="77777777" w:rsidR="00204C5B" w:rsidRDefault="00204C5B">
      <w:pPr>
        <w:widowControl/>
        <w:rPr>
          <w:lang w:bidi="ar-SA"/>
        </w:rPr>
      </w:pPr>
    </w:p>
    <w:p w14:paraId="53685072" w14:textId="23223EFA" w:rsidR="00204C5B" w:rsidRDefault="007F42EB">
      <w:pPr>
        <w:widowControl/>
        <w:rPr>
          <w:lang w:bidi="ar-SA"/>
        </w:rPr>
      </w:pPr>
      <w:r>
        <w:rPr>
          <w:rFonts w:asciiTheme="minorHAnsi" w:hAnsiTheme="minorHAnsi"/>
          <w:noProof/>
          <w:szCs w:val="22"/>
          <w:lang w:eastAsia="en-GB" w:bidi="ar-SA"/>
        </w:rPr>
        <mc:AlternateContent>
          <mc:Choice Requires="wps">
            <w:drawing>
              <wp:anchor distT="0" distB="0" distL="114300" distR="114300" simplePos="0" relativeHeight="251658243" behindDoc="0" locked="0" layoutInCell="1" allowOverlap="1" wp14:anchorId="37FFC4F3" wp14:editId="0FB47416">
                <wp:simplePos x="0" y="0"/>
                <wp:positionH relativeFrom="column">
                  <wp:posOffset>1317625</wp:posOffset>
                </wp:positionH>
                <wp:positionV relativeFrom="paragraph">
                  <wp:posOffset>47625</wp:posOffset>
                </wp:positionV>
                <wp:extent cx="3041015" cy="2132330"/>
                <wp:effectExtent l="19050" t="19050" r="45085" b="3937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015" cy="2132330"/>
                        </a:xfrm>
                        <a:prstGeom prst="ellipse">
                          <a:avLst/>
                        </a:prstGeom>
                        <a:solidFill>
                          <a:srgbClr val="F6A2EA">
                            <a:alpha val="70980"/>
                          </a:srgbClr>
                        </a:solidFill>
                        <a:ln w="57150" cap="flat" cmpd="sng" algn="ctr">
                          <a:solidFill>
                            <a:srgbClr val="7030A0"/>
                          </a:solidFill>
                          <a:prstDash val="solid"/>
                          <a:miter lim="800000"/>
                        </a:ln>
                        <a:effectLst/>
                      </wps:spPr>
                      <wps:txbx>
                        <w:txbxContent>
                          <w:p w14:paraId="6FE8AC5F" w14:textId="77777777" w:rsidR="008429DD" w:rsidRDefault="008429DD" w:rsidP="00204C5B">
                            <w:pPr>
                              <w:jc w:val="center"/>
                              <w:rPr>
                                <w:rFonts w:cs="Arial"/>
                                <w:sz w:val="44"/>
                                <w:szCs w:val="44"/>
                                <w:lang w:val="en-NZ"/>
                              </w:rPr>
                            </w:pPr>
                            <w:r w:rsidRPr="00D5768F">
                              <w:rPr>
                                <w:rFonts w:cs="Arial"/>
                                <w:sz w:val="44"/>
                                <w:szCs w:val="44"/>
                                <w:lang w:val="en-NZ"/>
                              </w:rPr>
                              <w:t xml:space="preserve">Uses of </w:t>
                            </w:r>
                          </w:p>
                          <w:p w14:paraId="4C29ABAE" w14:textId="77777777" w:rsidR="008429DD" w:rsidRPr="00D5768F" w:rsidRDefault="008429DD" w:rsidP="00204C5B">
                            <w:pPr>
                              <w:jc w:val="center"/>
                              <w:rPr>
                                <w:sz w:val="44"/>
                                <w:szCs w:val="44"/>
                                <w:lang w:val="en-NZ"/>
                              </w:rPr>
                            </w:pPr>
                            <w:r w:rsidRPr="00D5768F">
                              <w:rPr>
                                <w:rFonts w:cs="Arial"/>
                                <w:sz w:val="44"/>
                                <w:szCs w:val="44"/>
                                <w:lang w:val="en-NZ"/>
                              </w:rPr>
                              <w:t xml:space="preserve">per serving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9" o:spid="_x0000_s1028" style="position:absolute;margin-left:103.75pt;margin-top:3.75pt;width:239.45pt;height:167.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" fillcolor="#f6a2ea" strokecolor="#7030a0" strokeweight="4.5pt">
                <v:fill opacity="46517f"/>
                <v:stroke joinstyle="miter"/>
                <v:path arrowok="t"/>
                <v:textbox>
                  <w:txbxContent>
                    <w:p w14:paraId="6FE8AC5F" w14:textId="77777777" w:rsidR="008429DD" w:rsidRDefault="008429DD" w:rsidP="00204C5B">
                      <w:pPr>
                        <w:jc w:val="center"/>
                        <w:rPr>
                          <w:rFonts w:cs="Arial"/>
                          <w:sz w:val="44"/>
                          <w:szCs w:val="44"/>
                          <w:lang w:val="en-NZ"/>
                        </w:rPr>
                      </w:pPr>
                      <w:r w:rsidRPr="00D5768F">
                        <w:rPr>
                          <w:rFonts w:cs="Arial"/>
                          <w:sz w:val="44"/>
                          <w:szCs w:val="44"/>
                          <w:lang w:val="en-NZ"/>
                        </w:rPr>
                        <w:t xml:space="preserve">Uses of </w:t>
                      </w:r>
                    </w:p>
                    <w:p w14:paraId="4C29ABAE" w14:textId="77777777" w:rsidR="008429DD" w:rsidRPr="00D5768F" w:rsidRDefault="008429DD" w:rsidP="00204C5B">
                      <w:pPr>
                        <w:jc w:val="center"/>
                        <w:rPr>
                          <w:sz w:val="44"/>
                          <w:szCs w:val="44"/>
                          <w:lang w:val="en-NZ"/>
                        </w:rPr>
                      </w:pPr>
                      <w:r w:rsidRPr="00D5768F">
                        <w:rPr>
                          <w:rFonts w:cs="Arial"/>
                          <w:sz w:val="44"/>
                          <w:szCs w:val="44"/>
                          <w:lang w:val="en-NZ"/>
                        </w:rPr>
                        <w:t xml:space="preserve">per serving information </w:t>
                      </w:r>
                    </w:p>
                  </w:txbxContent>
                </v:textbox>
              </v:oval>
            </w:pict>
          </mc:Fallback>
        </mc:AlternateContent>
      </w:r>
    </w:p>
    <w:p w14:paraId="63E3071E" w14:textId="77777777" w:rsidR="00204C5B" w:rsidRDefault="00204C5B">
      <w:pPr>
        <w:widowControl/>
        <w:rPr>
          <w:lang w:bidi="ar-SA"/>
        </w:rPr>
      </w:pPr>
    </w:p>
    <w:p w14:paraId="179504B5" w14:textId="77777777" w:rsidR="00204C5B" w:rsidRDefault="00204C5B">
      <w:pPr>
        <w:widowControl/>
        <w:rPr>
          <w:lang w:bidi="ar-SA"/>
        </w:rPr>
      </w:pPr>
    </w:p>
    <w:p w14:paraId="4AE2626E" w14:textId="77777777" w:rsidR="00204C5B" w:rsidRDefault="00204C5B">
      <w:pPr>
        <w:widowControl/>
        <w:rPr>
          <w:lang w:bidi="ar-SA"/>
        </w:rPr>
      </w:pPr>
    </w:p>
    <w:p w14:paraId="69E6E528" w14:textId="77777777" w:rsidR="00204C5B" w:rsidRDefault="00204C5B">
      <w:pPr>
        <w:widowControl/>
        <w:rPr>
          <w:lang w:bidi="ar-SA"/>
        </w:rPr>
      </w:pPr>
    </w:p>
    <w:p w14:paraId="59F22F82" w14:textId="77777777" w:rsidR="00204C5B" w:rsidRDefault="00204C5B">
      <w:pPr>
        <w:widowControl/>
        <w:rPr>
          <w:lang w:bidi="ar-SA"/>
        </w:rPr>
      </w:pPr>
    </w:p>
    <w:p w14:paraId="3B15715B" w14:textId="77777777" w:rsidR="00204C5B" w:rsidRDefault="00204C5B">
      <w:pPr>
        <w:widowControl/>
        <w:rPr>
          <w:lang w:bidi="ar-SA"/>
        </w:rPr>
      </w:pPr>
    </w:p>
    <w:p w14:paraId="61DF6513" w14:textId="77777777" w:rsidR="00204C5B" w:rsidRDefault="00204C5B">
      <w:pPr>
        <w:widowControl/>
        <w:rPr>
          <w:lang w:bidi="ar-SA"/>
        </w:rPr>
      </w:pPr>
    </w:p>
    <w:p w14:paraId="52356D55" w14:textId="77777777" w:rsidR="00204C5B" w:rsidRDefault="00204C5B">
      <w:pPr>
        <w:widowControl/>
        <w:rPr>
          <w:lang w:bidi="ar-SA"/>
        </w:rPr>
      </w:pPr>
    </w:p>
    <w:p w14:paraId="66B03124" w14:textId="77777777" w:rsidR="00204C5B" w:rsidRDefault="00204C5B">
      <w:pPr>
        <w:widowControl/>
        <w:rPr>
          <w:lang w:bidi="ar-SA"/>
        </w:rPr>
      </w:pPr>
    </w:p>
    <w:p w14:paraId="105A1510" w14:textId="77777777" w:rsidR="00204C5B" w:rsidRDefault="00204C5B">
      <w:pPr>
        <w:widowControl/>
        <w:rPr>
          <w:lang w:bidi="ar-SA"/>
        </w:rPr>
      </w:pPr>
    </w:p>
    <w:p w14:paraId="6AE6B843" w14:textId="03F681C7" w:rsidR="00204C5B" w:rsidRDefault="003D1226">
      <w:pPr>
        <w:widowControl/>
        <w:rPr>
          <w:lang w:bidi="ar-SA"/>
        </w:rPr>
      </w:pPr>
      <w:r>
        <w:rPr>
          <w:rFonts w:asciiTheme="minorHAnsi" w:hAnsiTheme="minorHAnsi"/>
          <w:noProof/>
          <w:szCs w:val="22"/>
          <w:lang w:eastAsia="en-GB" w:bidi="ar-SA"/>
        </w:rPr>
        <mc:AlternateContent>
          <mc:Choice Requires="wps">
            <w:drawing>
              <wp:anchor distT="0" distB="0" distL="114300" distR="114300" simplePos="0" relativeHeight="251658249" behindDoc="0" locked="0" layoutInCell="1" allowOverlap="1" wp14:anchorId="36C8A7BE" wp14:editId="6808D25F">
                <wp:simplePos x="0" y="0"/>
                <wp:positionH relativeFrom="column">
                  <wp:posOffset>3812875</wp:posOffset>
                </wp:positionH>
                <wp:positionV relativeFrom="paragraph">
                  <wp:posOffset>154401</wp:posOffset>
                </wp:positionV>
                <wp:extent cx="547982" cy="534838"/>
                <wp:effectExtent l="0" t="0" r="81280" b="558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982" cy="534838"/>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300.25pt;margin-top:12.15pt;width:43.15pt;height:42.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" strokecolor="windowText" strokeweight=".5pt">
                <v:stroke endarrow="open" joinstyle="miter"/>
                <o:lock v:ext="edit" shapetype="f"/>
              </v:shape>
            </w:pict>
          </mc:Fallback>
        </mc:AlternateContent>
      </w:r>
      <w:r w:rsidR="00506A7C">
        <w:rPr>
          <w:rFonts w:asciiTheme="minorHAnsi" w:hAnsiTheme="minorHAnsi"/>
          <w:noProof/>
          <w:szCs w:val="22"/>
          <w:lang w:eastAsia="en-GB" w:bidi="ar-SA"/>
        </w:rPr>
        <mc:AlternateContent>
          <mc:Choice Requires="wps">
            <w:drawing>
              <wp:anchor distT="0" distB="0" distL="114300" distR="114300" simplePos="0" relativeHeight="251658248" behindDoc="0" locked="0" layoutInCell="1" allowOverlap="1" wp14:anchorId="35A2D9CE" wp14:editId="22DD5C41">
                <wp:simplePos x="0" y="0"/>
                <wp:positionH relativeFrom="column">
                  <wp:posOffset>1257300</wp:posOffset>
                </wp:positionH>
                <wp:positionV relativeFrom="paragraph">
                  <wp:posOffset>127000</wp:posOffset>
                </wp:positionV>
                <wp:extent cx="466090" cy="504190"/>
                <wp:effectExtent l="38100" t="0" r="29210" b="482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090" cy="50419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99pt;margin-top:10pt;width:36.7pt;height:39.7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" strokecolor="windowText" strokeweight=".5pt">
                <v:stroke endarrow="open" joinstyle="miter"/>
                <o:lock v:ext="edit" shapetype="f"/>
              </v:shape>
            </w:pict>
          </mc:Fallback>
        </mc:AlternateContent>
      </w:r>
    </w:p>
    <w:p w14:paraId="3037DE0C" w14:textId="2113A97E" w:rsidR="00204C5B" w:rsidRDefault="00204C5B">
      <w:pPr>
        <w:widowControl/>
        <w:rPr>
          <w:lang w:bidi="ar-SA"/>
        </w:rPr>
      </w:pPr>
    </w:p>
    <w:p w14:paraId="6A4E4800" w14:textId="667351BF" w:rsidR="00204C5B" w:rsidRDefault="00204C5B">
      <w:pPr>
        <w:widowControl/>
        <w:rPr>
          <w:lang w:bidi="ar-SA"/>
        </w:rPr>
      </w:pPr>
    </w:p>
    <w:p w14:paraId="582D1971" w14:textId="13F28DD9" w:rsidR="00204C5B" w:rsidRDefault="003D1226">
      <w:pPr>
        <w:widowControl/>
        <w:rPr>
          <w:lang w:bidi="ar-SA"/>
        </w:rPr>
      </w:pPr>
      <w:r>
        <w:rPr>
          <w:rFonts w:asciiTheme="minorHAnsi" w:hAnsiTheme="minorHAnsi"/>
          <w:noProof/>
          <w:szCs w:val="22"/>
          <w:lang w:eastAsia="en-GB" w:bidi="ar-SA"/>
        </w:rPr>
        <mc:AlternateContent>
          <mc:Choice Requires="wps">
            <w:drawing>
              <wp:anchor distT="0" distB="0" distL="114300" distR="114300" simplePos="0" relativeHeight="251658246" behindDoc="0" locked="0" layoutInCell="1" allowOverlap="1" wp14:anchorId="4878A85A" wp14:editId="3607DAFE">
                <wp:simplePos x="0" y="0"/>
                <wp:positionH relativeFrom="column">
                  <wp:posOffset>154940</wp:posOffset>
                </wp:positionH>
                <wp:positionV relativeFrom="paragraph">
                  <wp:posOffset>154940</wp:posOffset>
                </wp:positionV>
                <wp:extent cx="2780030" cy="2509520"/>
                <wp:effectExtent l="0" t="0" r="20320"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030" cy="2509520"/>
                        </a:xfrm>
                        <a:prstGeom prst="rect">
                          <a:avLst/>
                        </a:prstGeom>
                        <a:gradFill flip="none" rotWithShape="1">
                          <a:gsLst>
                            <a:gs pos="0">
                              <a:srgbClr val="70AD47">
                                <a:lumMod val="20000"/>
                                <a:lumOff val="80000"/>
                                <a:shade val="30000"/>
                                <a:satMod val="115000"/>
                              </a:srgbClr>
                            </a:gs>
                            <a:gs pos="50000">
                              <a:srgbClr val="70AD47">
                                <a:lumMod val="20000"/>
                                <a:lumOff val="80000"/>
                                <a:shade val="67500"/>
                                <a:satMod val="115000"/>
                              </a:srgbClr>
                            </a:gs>
                            <a:gs pos="100000">
                              <a:srgbClr val="70AD47">
                                <a:lumMod val="20000"/>
                                <a:lumOff val="80000"/>
                                <a:shade val="100000"/>
                                <a:satMod val="115000"/>
                              </a:srgbClr>
                            </a:gs>
                          </a:gsLst>
                          <a:lin ang="2700000" scaled="1"/>
                          <a:tileRect/>
                        </a:gradFill>
                        <a:ln w="6350">
                          <a:solidFill>
                            <a:srgbClr val="00B050"/>
                          </a:solidFill>
                        </a:ln>
                        <a:effectLst/>
                      </wps:spPr>
                      <wps:txbx>
                        <w:txbxContent>
                          <w:p w14:paraId="05045513" w14:textId="77777777" w:rsidR="008429DD" w:rsidRDefault="008429DD" w:rsidP="00204C5B">
                            <w:pPr>
                              <w:jc w:val="center"/>
                              <w:rPr>
                                <w:rFonts w:cs="Arial"/>
                                <w:b/>
                                <w:sz w:val="20"/>
                                <w:szCs w:val="20"/>
                              </w:rPr>
                            </w:pPr>
                            <w:r>
                              <w:rPr>
                                <w:rFonts w:cs="Arial"/>
                                <w:b/>
                                <w:sz w:val="32"/>
                                <w:szCs w:val="32"/>
                              </w:rPr>
                              <w:t>Food Industry</w:t>
                            </w:r>
                          </w:p>
                          <w:p w14:paraId="12405B06" w14:textId="4101A47A" w:rsidR="008429DD" w:rsidRPr="007466DD" w:rsidRDefault="008429DD" w:rsidP="00204C5B">
                            <w:pPr>
                              <w:pStyle w:val="ListParagraph"/>
                              <w:numPr>
                                <w:ilvl w:val="0"/>
                                <w:numId w:val="14"/>
                              </w:numPr>
                              <w:spacing w:after="160" w:line="259" w:lineRule="auto"/>
                              <w:ind w:left="284" w:hanging="284"/>
                              <w:rPr>
                                <w:rFonts w:cs="Arial"/>
                                <w:b/>
                                <w:sz w:val="20"/>
                                <w:szCs w:val="20"/>
                                <w:lang w:val="en-NZ"/>
                              </w:rPr>
                            </w:pPr>
                            <w:r w:rsidRPr="007466DD">
                              <w:rPr>
                                <w:rFonts w:cs="Arial"/>
                                <w:sz w:val="20"/>
                                <w:szCs w:val="20"/>
                                <w:lang w:val="en-NZ"/>
                              </w:rPr>
                              <w:t xml:space="preserve">Useful for foods with </w:t>
                            </w:r>
                            <w:r>
                              <w:rPr>
                                <w:rFonts w:cs="Arial"/>
                                <w:sz w:val="20"/>
                                <w:szCs w:val="20"/>
                                <w:lang w:val="en-NZ"/>
                              </w:rPr>
                              <w:t xml:space="preserve">significantly </w:t>
                            </w:r>
                            <w:r w:rsidRPr="007466DD">
                              <w:rPr>
                                <w:rFonts w:cs="Arial"/>
                                <w:sz w:val="20"/>
                                <w:szCs w:val="20"/>
                                <w:lang w:val="en-NZ"/>
                              </w:rPr>
                              <w:t>smaller or larger</w:t>
                            </w:r>
                            <w:r>
                              <w:rPr>
                                <w:rFonts w:cs="Arial"/>
                                <w:sz w:val="20"/>
                                <w:szCs w:val="20"/>
                                <w:lang w:val="en-NZ"/>
                              </w:rPr>
                              <w:t xml:space="preserve"> serving sizes than 100 g/100 mL e.g. nuts, snack foods</w:t>
                            </w:r>
                          </w:p>
                          <w:p w14:paraId="49F0B398" w14:textId="77777777" w:rsidR="008429DD" w:rsidRPr="007466DD" w:rsidRDefault="008429DD" w:rsidP="00204C5B">
                            <w:pPr>
                              <w:pStyle w:val="ListParagraph"/>
                              <w:numPr>
                                <w:ilvl w:val="0"/>
                                <w:numId w:val="14"/>
                              </w:numPr>
                              <w:spacing w:after="160" w:line="259" w:lineRule="auto"/>
                              <w:ind w:left="284" w:hanging="284"/>
                              <w:rPr>
                                <w:rFonts w:cs="Arial"/>
                                <w:b/>
                                <w:sz w:val="20"/>
                                <w:szCs w:val="20"/>
                                <w:lang w:val="en-NZ"/>
                              </w:rPr>
                            </w:pPr>
                            <w:r>
                              <w:rPr>
                                <w:rFonts w:cs="Arial"/>
                                <w:sz w:val="20"/>
                                <w:szCs w:val="20"/>
                                <w:lang w:val="en-NZ"/>
                              </w:rPr>
                              <w:t>Combined with other foods as consumed e.g. milk with breakfast cereal</w:t>
                            </w:r>
                          </w:p>
                          <w:p w14:paraId="3226B3D3" w14:textId="765A22C1" w:rsidR="008429DD" w:rsidRPr="00B00310" w:rsidRDefault="008429DD" w:rsidP="00B00310">
                            <w:pPr>
                              <w:pStyle w:val="ListParagraph"/>
                              <w:numPr>
                                <w:ilvl w:val="0"/>
                                <w:numId w:val="14"/>
                              </w:numPr>
                              <w:spacing w:after="160" w:line="259" w:lineRule="auto"/>
                              <w:ind w:left="284" w:hanging="284"/>
                              <w:rPr>
                                <w:rFonts w:cs="Arial"/>
                                <w:b/>
                                <w:sz w:val="20"/>
                                <w:szCs w:val="20"/>
                                <w:lang w:val="en-NZ"/>
                              </w:rPr>
                            </w:pPr>
                            <w:r w:rsidRPr="00B00310">
                              <w:rPr>
                                <w:rFonts w:cs="Arial"/>
                                <w:sz w:val="20"/>
                                <w:szCs w:val="20"/>
                                <w:lang w:val="en-NZ"/>
                              </w:rPr>
                              <w:t>Voluntary labelling schemes (e.g. Health Star Rating system, % DI on front-of pack, GI symbol programme, Heart Foundation Pick-the-Tick criteria</w:t>
                            </w:r>
                            <w:r>
                              <w:rPr>
                                <w:rFonts w:cs="Arial"/>
                                <w:sz w:val="20"/>
                                <w:szCs w:val="20"/>
                                <w:lang w:val="en-NZ"/>
                              </w:rPr>
                              <w:t>)</w:t>
                            </w:r>
                          </w:p>
                          <w:p w14:paraId="11CD64D2" w14:textId="2A605B8C" w:rsidR="008429DD" w:rsidRPr="00D5768F" w:rsidRDefault="008429DD" w:rsidP="00204C5B">
                            <w:pPr>
                              <w:pStyle w:val="ListParagraph"/>
                              <w:numPr>
                                <w:ilvl w:val="0"/>
                                <w:numId w:val="14"/>
                              </w:numPr>
                              <w:spacing w:after="160" w:line="259" w:lineRule="auto"/>
                              <w:ind w:left="284" w:hanging="284"/>
                              <w:rPr>
                                <w:rFonts w:cs="Arial"/>
                                <w:b/>
                                <w:sz w:val="20"/>
                                <w:szCs w:val="20"/>
                                <w:lang w:val="en-NZ"/>
                              </w:rPr>
                            </w:pPr>
                            <w:r>
                              <w:rPr>
                                <w:rFonts w:cs="Arial"/>
                                <w:sz w:val="20"/>
                                <w:szCs w:val="20"/>
                                <w:lang w:val="en-NZ"/>
                              </w:rPr>
                              <w:t>Checking compliance with Code e.g. some nutrition content and health claims</w:t>
                            </w:r>
                          </w:p>
                          <w:p w14:paraId="0FA1847D" w14:textId="77777777" w:rsidR="008429DD" w:rsidRPr="00D15BD0" w:rsidRDefault="008429DD" w:rsidP="00204C5B">
                            <w:pPr>
                              <w:pStyle w:val="ListParagraph"/>
                              <w:numPr>
                                <w:ilvl w:val="0"/>
                                <w:numId w:val="14"/>
                              </w:numPr>
                              <w:spacing w:after="160" w:line="259" w:lineRule="auto"/>
                              <w:ind w:left="284" w:hanging="284"/>
                              <w:rPr>
                                <w:rFonts w:cs="Arial"/>
                                <w:b/>
                                <w:sz w:val="20"/>
                                <w:szCs w:val="20"/>
                                <w:lang w:val="en-NZ"/>
                              </w:rPr>
                            </w:pPr>
                            <w:r>
                              <w:rPr>
                                <w:rFonts w:cs="Arial"/>
                                <w:sz w:val="20"/>
                                <w:szCs w:val="20"/>
                                <w:lang w:val="en-NZ"/>
                              </w:rPr>
                              <w:t>Calculation of %DI and %RDI values</w:t>
                            </w:r>
                          </w:p>
                          <w:p w14:paraId="1E799734" w14:textId="2579BF73" w:rsidR="008429DD" w:rsidRPr="00506A7C" w:rsidRDefault="008429DD" w:rsidP="00506A7C">
                            <w:pPr>
                              <w:pStyle w:val="ListParagraph"/>
                              <w:numPr>
                                <w:ilvl w:val="0"/>
                                <w:numId w:val="14"/>
                              </w:numPr>
                              <w:spacing w:after="160" w:line="259" w:lineRule="auto"/>
                              <w:ind w:left="284" w:hanging="284"/>
                              <w:rPr>
                                <w:rFonts w:cs="Arial"/>
                                <w:b/>
                                <w:sz w:val="20"/>
                                <w:szCs w:val="20"/>
                                <w:lang w:val="en-NZ"/>
                              </w:rPr>
                            </w:pPr>
                            <w:r>
                              <w:rPr>
                                <w:rFonts w:cs="Arial"/>
                                <w:sz w:val="20"/>
                                <w:szCs w:val="20"/>
                                <w:lang w:val="en-NZ"/>
                              </w:rPr>
                              <w:t>Tool for nutrition education 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12.2pt;margin-top:12.2pt;width:218.9pt;height:19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" fillcolor="#838d7d" strokecolor="#00b050" strokeweight=".5pt">
                <v:fill color2="#e2f1d8" rotate="t" angle="45" colors="0 #838d7d;.5 #becbb5;1 #e2f1d8" focus="100%" type="gradient"/>
                <v:path arrowok="t"/>
                <v:textbox>
                  <w:txbxContent>
                    <w:p w14:paraId="05045513" w14:textId="77777777" w:rsidR="008429DD" w:rsidRDefault="008429DD" w:rsidP="00204C5B">
                      <w:pPr>
                        <w:jc w:val="center"/>
                        <w:rPr>
                          <w:rFonts w:cs="Arial"/>
                          <w:b/>
                          <w:sz w:val="20"/>
                          <w:szCs w:val="20"/>
                        </w:rPr>
                      </w:pPr>
                      <w:r>
                        <w:rPr>
                          <w:rFonts w:cs="Arial"/>
                          <w:b/>
                          <w:sz w:val="32"/>
                          <w:szCs w:val="32"/>
                        </w:rPr>
                        <w:t>Food Industry</w:t>
                      </w:r>
                    </w:p>
                    <w:p w14:paraId="12405B06" w14:textId="4101A47A" w:rsidR="008429DD" w:rsidRPr="007466DD" w:rsidRDefault="008429DD" w:rsidP="00204C5B">
                      <w:pPr>
                        <w:pStyle w:val="ListParagraph"/>
                        <w:numPr>
                          <w:ilvl w:val="0"/>
                          <w:numId w:val="14"/>
                        </w:numPr>
                        <w:spacing w:after="160" w:line="259" w:lineRule="auto"/>
                        <w:ind w:left="284" w:hanging="284"/>
                        <w:rPr>
                          <w:rFonts w:cs="Arial"/>
                          <w:b/>
                          <w:sz w:val="20"/>
                          <w:szCs w:val="20"/>
                          <w:lang w:val="en-NZ"/>
                        </w:rPr>
                      </w:pPr>
                      <w:r w:rsidRPr="007466DD">
                        <w:rPr>
                          <w:rFonts w:cs="Arial"/>
                          <w:sz w:val="20"/>
                          <w:szCs w:val="20"/>
                          <w:lang w:val="en-NZ"/>
                        </w:rPr>
                        <w:t xml:space="preserve">Useful for foods with </w:t>
                      </w:r>
                      <w:r>
                        <w:rPr>
                          <w:rFonts w:cs="Arial"/>
                          <w:sz w:val="20"/>
                          <w:szCs w:val="20"/>
                          <w:lang w:val="en-NZ"/>
                        </w:rPr>
                        <w:t xml:space="preserve">significantly </w:t>
                      </w:r>
                      <w:r w:rsidRPr="007466DD">
                        <w:rPr>
                          <w:rFonts w:cs="Arial"/>
                          <w:sz w:val="20"/>
                          <w:szCs w:val="20"/>
                          <w:lang w:val="en-NZ"/>
                        </w:rPr>
                        <w:t>smaller or larger</w:t>
                      </w:r>
                      <w:r>
                        <w:rPr>
                          <w:rFonts w:cs="Arial"/>
                          <w:sz w:val="20"/>
                          <w:szCs w:val="20"/>
                          <w:lang w:val="en-NZ"/>
                        </w:rPr>
                        <w:t xml:space="preserve"> serving sizes than 100 g/100 mL e.g. nuts, snack foods</w:t>
                      </w:r>
                    </w:p>
                    <w:p w14:paraId="49F0B398" w14:textId="77777777" w:rsidR="008429DD" w:rsidRPr="007466DD" w:rsidRDefault="008429DD" w:rsidP="00204C5B">
                      <w:pPr>
                        <w:pStyle w:val="ListParagraph"/>
                        <w:numPr>
                          <w:ilvl w:val="0"/>
                          <w:numId w:val="14"/>
                        </w:numPr>
                        <w:spacing w:after="160" w:line="259" w:lineRule="auto"/>
                        <w:ind w:left="284" w:hanging="284"/>
                        <w:rPr>
                          <w:rFonts w:cs="Arial"/>
                          <w:b/>
                          <w:sz w:val="20"/>
                          <w:szCs w:val="20"/>
                          <w:lang w:val="en-NZ"/>
                        </w:rPr>
                      </w:pPr>
                      <w:r>
                        <w:rPr>
                          <w:rFonts w:cs="Arial"/>
                          <w:sz w:val="20"/>
                          <w:szCs w:val="20"/>
                          <w:lang w:val="en-NZ"/>
                        </w:rPr>
                        <w:t>Combined with other foods as consumed e.g. milk with breakfast cereal</w:t>
                      </w:r>
                    </w:p>
                    <w:p w14:paraId="3226B3D3" w14:textId="765A22C1" w:rsidR="008429DD" w:rsidRPr="00B00310" w:rsidRDefault="008429DD" w:rsidP="00B00310">
                      <w:pPr>
                        <w:pStyle w:val="ListParagraph"/>
                        <w:numPr>
                          <w:ilvl w:val="0"/>
                          <w:numId w:val="14"/>
                        </w:numPr>
                        <w:spacing w:after="160" w:line="259" w:lineRule="auto"/>
                        <w:ind w:left="284" w:hanging="284"/>
                        <w:rPr>
                          <w:rFonts w:cs="Arial"/>
                          <w:b/>
                          <w:sz w:val="20"/>
                          <w:szCs w:val="20"/>
                          <w:lang w:val="en-NZ"/>
                        </w:rPr>
                      </w:pPr>
                      <w:r w:rsidRPr="00B00310">
                        <w:rPr>
                          <w:rFonts w:cs="Arial"/>
                          <w:sz w:val="20"/>
                          <w:szCs w:val="20"/>
                          <w:lang w:val="en-NZ"/>
                        </w:rPr>
                        <w:t>Voluntary labelling schemes (e.g. Health Star Rating system, % DI on front-of pack, GI symbol programme, Heart Foundation Pick-the-Tick criteria</w:t>
                      </w:r>
                      <w:r>
                        <w:rPr>
                          <w:rFonts w:cs="Arial"/>
                          <w:sz w:val="20"/>
                          <w:szCs w:val="20"/>
                          <w:lang w:val="en-NZ"/>
                        </w:rPr>
                        <w:t>)</w:t>
                      </w:r>
                    </w:p>
                    <w:p w14:paraId="11CD64D2" w14:textId="2A605B8C" w:rsidR="008429DD" w:rsidRPr="00D5768F" w:rsidRDefault="008429DD" w:rsidP="00204C5B">
                      <w:pPr>
                        <w:pStyle w:val="ListParagraph"/>
                        <w:numPr>
                          <w:ilvl w:val="0"/>
                          <w:numId w:val="14"/>
                        </w:numPr>
                        <w:spacing w:after="160" w:line="259" w:lineRule="auto"/>
                        <w:ind w:left="284" w:hanging="284"/>
                        <w:rPr>
                          <w:rFonts w:cs="Arial"/>
                          <w:b/>
                          <w:sz w:val="20"/>
                          <w:szCs w:val="20"/>
                          <w:lang w:val="en-NZ"/>
                        </w:rPr>
                      </w:pPr>
                      <w:r>
                        <w:rPr>
                          <w:rFonts w:cs="Arial"/>
                          <w:sz w:val="20"/>
                          <w:szCs w:val="20"/>
                          <w:lang w:val="en-NZ"/>
                        </w:rPr>
                        <w:t>Checking compliance with Code e.g. some nutrition content and health claims</w:t>
                      </w:r>
                    </w:p>
                    <w:p w14:paraId="0FA1847D" w14:textId="77777777" w:rsidR="008429DD" w:rsidRPr="00D15BD0" w:rsidRDefault="008429DD" w:rsidP="00204C5B">
                      <w:pPr>
                        <w:pStyle w:val="ListParagraph"/>
                        <w:numPr>
                          <w:ilvl w:val="0"/>
                          <w:numId w:val="14"/>
                        </w:numPr>
                        <w:spacing w:after="160" w:line="259" w:lineRule="auto"/>
                        <w:ind w:left="284" w:hanging="284"/>
                        <w:rPr>
                          <w:rFonts w:cs="Arial"/>
                          <w:b/>
                          <w:sz w:val="20"/>
                          <w:szCs w:val="20"/>
                          <w:lang w:val="en-NZ"/>
                        </w:rPr>
                      </w:pPr>
                      <w:r>
                        <w:rPr>
                          <w:rFonts w:cs="Arial"/>
                          <w:sz w:val="20"/>
                          <w:szCs w:val="20"/>
                          <w:lang w:val="en-NZ"/>
                        </w:rPr>
                        <w:t>Calculation of %DI and %RDI values</w:t>
                      </w:r>
                    </w:p>
                    <w:p w14:paraId="1E799734" w14:textId="2579BF73" w:rsidR="008429DD" w:rsidRPr="00506A7C" w:rsidRDefault="008429DD" w:rsidP="00506A7C">
                      <w:pPr>
                        <w:pStyle w:val="ListParagraph"/>
                        <w:numPr>
                          <w:ilvl w:val="0"/>
                          <w:numId w:val="14"/>
                        </w:numPr>
                        <w:spacing w:after="160" w:line="259" w:lineRule="auto"/>
                        <w:ind w:left="284" w:hanging="284"/>
                        <w:rPr>
                          <w:rFonts w:cs="Arial"/>
                          <w:b/>
                          <w:sz w:val="20"/>
                          <w:szCs w:val="20"/>
                          <w:lang w:val="en-NZ"/>
                        </w:rPr>
                      </w:pPr>
                      <w:r>
                        <w:rPr>
                          <w:rFonts w:cs="Arial"/>
                          <w:sz w:val="20"/>
                          <w:szCs w:val="20"/>
                          <w:lang w:val="en-NZ"/>
                        </w:rPr>
                        <w:t>Tool for nutrition education programmes</w:t>
                      </w:r>
                    </w:p>
                  </w:txbxContent>
                </v:textbox>
              </v:shape>
            </w:pict>
          </mc:Fallback>
        </mc:AlternateContent>
      </w:r>
    </w:p>
    <w:p w14:paraId="5535DE0A" w14:textId="79BAF269" w:rsidR="00204C5B" w:rsidRDefault="003D1226">
      <w:pPr>
        <w:widowControl/>
        <w:rPr>
          <w:lang w:bidi="ar-SA"/>
        </w:rPr>
      </w:pPr>
      <w:r>
        <w:rPr>
          <w:rFonts w:asciiTheme="minorHAnsi" w:hAnsiTheme="minorHAnsi"/>
          <w:noProof/>
          <w:szCs w:val="22"/>
          <w:lang w:eastAsia="en-GB" w:bidi="ar-SA"/>
        </w:rPr>
        <mc:AlternateContent>
          <mc:Choice Requires="wps">
            <w:drawing>
              <wp:anchor distT="0" distB="0" distL="114300" distR="114300" simplePos="0" relativeHeight="251658247" behindDoc="0" locked="0" layoutInCell="1" allowOverlap="1" wp14:anchorId="2D51D56E" wp14:editId="5B38804B">
                <wp:simplePos x="0" y="0"/>
                <wp:positionH relativeFrom="column">
                  <wp:posOffset>3122762</wp:posOffset>
                </wp:positionH>
                <wp:positionV relativeFrom="paragraph">
                  <wp:posOffset>46619</wp:posOffset>
                </wp:positionV>
                <wp:extent cx="2619375" cy="2458528"/>
                <wp:effectExtent l="0" t="0" r="28575"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2458528"/>
                        </a:xfrm>
                        <a:prstGeom prst="rect">
                          <a:avLst/>
                        </a:prstGeom>
                        <a:gradFill flip="none" rotWithShape="1">
                          <a:gsLst>
                            <a:gs pos="0">
                              <a:srgbClr val="E7E6E6">
                                <a:lumMod val="90000"/>
                                <a:shade val="30000"/>
                                <a:satMod val="115000"/>
                              </a:srgbClr>
                            </a:gs>
                            <a:gs pos="50000">
                              <a:srgbClr val="E7E6E6">
                                <a:lumMod val="90000"/>
                                <a:shade val="67500"/>
                                <a:satMod val="115000"/>
                              </a:srgbClr>
                            </a:gs>
                            <a:gs pos="100000">
                              <a:srgbClr val="E7E6E6">
                                <a:lumMod val="90000"/>
                                <a:shade val="100000"/>
                                <a:satMod val="115000"/>
                              </a:srgbClr>
                            </a:gs>
                          </a:gsLst>
                          <a:lin ang="2700000" scaled="1"/>
                          <a:tileRect/>
                        </a:gradFill>
                        <a:ln w="6350">
                          <a:solidFill>
                            <a:srgbClr val="E7E6E6">
                              <a:lumMod val="50000"/>
                            </a:srgbClr>
                          </a:solidFill>
                        </a:ln>
                        <a:effectLst/>
                      </wps:spPr>
                      <wps:txbx>
                        <w:txbxContent>
                          <w:p w14:paraId="39AA79F6" w14:textId="77777777" w:rsidR="008429DD" w:rsidRDefault="008429DD" w:rsidP="00204C5B">
                            <w:pPr>
                              <w:jc w:val="center"/>
                              <w:rPr>
                                <w:rFonts w:cs="Arial"/>
                                <w:b/>
                                <w:sz w:val="20"/>
                                <w:szCs w:val="20"/>
                              </w:rPr>
                            </w:pPr>
                            <w:r>
                              <w:rPr>
                                <w:rFonts w:cs="Arial"/>
                                <w:b/>
                                <w:sz w:val="32"/>
                                <w:szCs w:val="32"/>
                              </w:rPr>
                              <w:t>Government</w:t>
                            </w:r>
                          </w:p>
                          <w:p w14:paraId="45570C1E" w14:textId="093144C6" w:rsidR="008429DD" w:rsidRPr="00CE3604" w:rsidRDefault="008429DD" w:rsidP="00D841E6">
                            <w:pPr>
                              <w:pStyle w:val="ListParagraph"/>
                              <w:numPr>
                                <w:ilvl w:val="0"/>
                                <w:numId w:val="15"/>
                              </w:numPr>
                              <w:spacing w:after="160" w:line="259" w:lineRule="auto"/>
                              <w:ind w:left="284" w:hanging="284"/>
                              <w:rPr>
                                <w:rFonts w:cs="Arial"/>
                                <w:b/>
                                <w:sz w:val="20"/>
                                <w:szCs w:val="20"/>
                                <w:lang w:val="en-NZ"/>
                              </w:rPr>
                            </w:pPr>
                            <w:r w:rsidRPr="00CE3604">
                              <w:rPr>
                                <w:rFonts w:cs="Arial"/>
                                <w:sz w:val="20"/>
                                <w:szCs w:val="20"/>
                                <w:lang w:val="en-NZ"/>
                              </w:rPr>
                              <w:t>Checking compliance with Code e.g. some nutrition content and health claims, compositional requirements for some special purpose foods</w:t>
                            </w:r>
                          </w:p>
                          <w:p w14:paraId="3778B2A4" w14:textId="43E06B10" w:rsidR="008429DD" w:rsidRPr="003D1226" w:rsidRDefault="008429DD" w:rsidP="00204C5B">
                            <w:pPr>
                              <w:pStyle w:val="ListParagraph"/>
                              <w:numPr>
                                <w:ilvl w:val="0"/>
                                <w:numId w:val="15"/>
                              </w:numPr>
                              <w:spacing w:after="160" w:line="259" w:lineRule="auto"/>
                              <w:ind w:left="284" w:hanging="284"/>
                              <w:rPr>
                                <w:rFonts w:cs="Arial"/>
                                <w:b/>
                                <w:sz w:val="20"/>
                                <w:szCs w:val="20"/>
                                <w:lang w:val="en-NZ"/>
                              </w:rPr>
                            </w:pPr>
                            <w:r>
                              <w:rPr>
                                <w:rFonts w:cs="Arial"/>
                                <w:sz w:val="20"/>
                                <w:szCs w:val="20"/>
                                <w:lang w:val="en-NZ"/>
                              </w:rPr>
                              <w:t>Product assessments against national and state Healthy School Canteen guideline nutrient criteria</w:t>
                            </w:r>
                          </w:p>
                          <w:p w14:paraId="0333F339" w14:textId="2BA3F744" w:rsidR="008429DD" w:rsidRPr="003D1226" w:rsidRDefault="008429DD" w:rsidP="003D1226">
                            <w:pPr>
                              <w:pStyle w:val="ListParagraph"/>
                              <w:numPr>
                                <w:ilvl w:val="0"/>
                                <w:numId w:val="15"/>
                              </w:numPr>
                              <w:spacing w:after="160" w:line="259" w:lineRule="auto"/>
                              <w:ind w:left="284" w:hanging="284"/>
                              <w:rPr>
                                <w:rFonts w:cs="Arial"/>
                                <w:b/>
                                <w:sz w:val="20"/>
                                <w:szCs w:val="20"/>
                                <w:lang w:val="en-NZ"/>
                              </w:rPr>
                            </w:pPr>
                            <w:r>
                              <w:rPr>
                                <w:rFonts w:cs="Arial"/>
                                <w:sz w:val="20"/>
                                <w:szCs w:val="20"/>
                                <w:lang w:val="en-NZ"/>
                              </w:rPr>
                              <w:t>A</w:t>
                            </w:r>
                            <w:r w:rsidRPr="00A10736">
                              <w:rPr>
                                <w:rFonts w:cs="Arial"/>
                                <w:sz w:val="20"/>
                                <w:szCs w:val="20"/>
                                <w:lang w:val="en-NZ"/>
                              </w:rPr>
                              <w:t xml:space="preserve">ssessment against state </w:t>
                            </w:r>
                            <w:r>
                              <w:rPr>
                                <w:rFonts w:cs="Arial"/>
                                <w:sz w:val="20"/>
                                <w:szCs w:val="20"/>
                                <w:lang w:val="en-NZ"/>
                              </w:rPr>
                              <w:t xml:space="preserve">nutrient criteria for Health Services (retail and inpatients) </w:t>
                            </w:r>
                          </w:p>
                          <w:p w14:paraId="2C6A0BF4" w14:textId="77777777" w:rsidR="008429DD" w:rsidRPr="00D5768F" w:rsidRDefault="008429DD" w:rsidP="00204C5B">
                            <w:pPr>
                              <w:pStyle w:val="ListParagraph"/>
                              <w:numPr>
                                <w:ilvl w:val="0"/>
                                <w:numId w:val="15"/>
                              </w:numPr>
                              <w:spacing w:after="160" w:line="259" w:lineRule="auto"/>
                              <w:ind w:left="284" w:hanging="284"/>
                              <w:rPr>
                                <w:rFonts w:cs="Arial"/>
                                <w:b/>
                                <w:sz w:val="20"/>
                                <w:szCs w:val="20"/>
                                <w:lang w:val="en-NZ"/>
                              </w:rPr>
                            </w:pPr>
                            <w:r>
                              <w:rPr>
                                <w:rFonts w:cs="Arial"/>
                                <w:sz w:val="20"/>
                                <w:szCs w:val="20"/>
                                <w:lang w:val="en-NZ"/>
                              </w:rPr>
                              <w:t>Patient education</w:t>
                            </w:r>
                          </w:p>
                          <w:p w14:paraId="7B596954" w14:textId="77777777" w:rsidR="008429DD" w:rsidRPr="00444B68" w:rsidRDefault="008429DD" w:rsidP="00204C5B">
                            <w:pPr>
                              <w:pStyle w:val="ListParagraph"/>
                              <w:numPr>
                                <w:ilvl w:val="0"/>
                                <w:numId w:val="15"/>
                              </w:numPr>
                              <w:spacing w:after="160" w:line="259" w:lineRule="auto"/>
                              <w:ind w:left="284" w:hanging="284"/>
                              <w:rPr>
                                <w:rFonts w:cs="Arial"/>
                                <w:b/>
                                <w:sz w:val="20"/>
                                <w:szCs w:val="20"/>
                                <w:lang w:val="en-NZ"/>
                              </w:rPr>
                            </w:pPr>
                            <w:r>
                              <w:rPr>
                                <w:rFonts w:cs="Arial"/>
                                <w:sz w:val="20"/>
                                <w:szCs w:val="20"/>
                                <w:lang w:val="en-NZ"/>
                              </w:rPr>
                              <w:t>Nutrition education of the general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245.9pt;margin-top:3.65pt;width:206.25pt;height:193.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" fillcolor="#797777" strokecolor="#767171" strokeweight=".5pt">
                <v:fill color2="#d1cece" rotate="t" angle="45" colors="0 #797777;.5 #afadad;1 #d1cece" focus="100%" type="gradient"/>
                <v:path arrowok="t"/>
                <v:textbox>
                  <w:txbxContent>
                    <w:p w14:paraId="39AA79F6" w14:textId="77777777" w:rsidR="008429DD" w:rsidRDefault="008429DD" w:rsidP="00204C5B">
                      <w:pPr>
                        <w:jc w:val="center"/>
                        <w:rPr>
                          <w:rFonts w:cs="Arial"/>
                          <w:b/>
                          <w:sz w:val="20"/>
                          <w:szCs w:val="20"/>
                        </w:rPr>
                      </w:pPr>
                      <w:r>
                        <w:rPr>
                          <w:rFonts w:cs="Arial"/>
                          <w:b/>
                          <w:sz w:val="32"/>
                          <w:szCs w:val="32"/>
                        </w:rPr>
                        <w:t>Government</w:t>
                      </w:r>
                    </w:p>
                    <w:p w14:paraId="45570C1E" w14:textId="093144C6" w:rsidR="008429DD" w:rsidRPr="00CE3604" w:rsidRDefault="008429DD" w:rsidP="00D841E6">
                      <w:pPr>
                        <w:pStyle w:val="ListParagraph"/>
                        <w:numPr>
                          <w:ilvl w:val="0"/>
                          <w:numId w:val="15"/>
                        </w:numPr>
                        <w:spacing w:after="160" w:line="259" w:lineRule="auto"/>
                        <w:ind w:left="284" w:hanging="284"/>
                        <w:rPr>
                          <w:rFonts w:cs="Arial"/>
                          <w:b/>
                          <w:sz w:val="20"/>
                          <w:szCs w:val="20"/>
                          <w:lang w:val="en-NZ"/>
                        </w:rPr>
                      </w:pPr>
                      <w:r w:rsidRPr="00CE3604">
                        <w:rPr>
                          <w:rFonts w:cs="Arial"/>
                          <w:sz w:val="20"/>
                          <w:szCs w:val="20"/>
                          <w:lang w:val="en-NZ"/>
                        </w:rPr>
                        <w:t>Checking compliance with Code e.g. some nutrition content and health claims, compositional requirements for some special purpose foods</w:t>
                      </w:r>
                    </w:p>
                    <w:p w14:paraId="3778B2A4" w14:textId="43E06B10" w:rsidR="008429DD" w:rsidRPr="003D1226" w:rsidRDefault="008429DD" w:rsidP="00204C5B">
                      <w:pPr>
                        <w:pStyle w:val="ListParagraph"/>
                        <w:numPr>
                          <w:ilvl w:val="0"/>
                          <w:numId w:val="15"/>
                        </w:numPr>
                        <w:spacing w:after="160" w:line="259" w:lineRule="auto"/>
                        <w:ind w:left="284" w:hanging="284"/>
                        <w:rPr>
                          <w:rFonts w:cs="Arial"/>
                          <w:b/>
                          <w:sz w:val="20"/>
                          <w:szCs w:val="20"/>
                          <w:lang w:val="en-NZ"/>
                        </w:rPr>
                      </w:pPr>
                      <w:r>
                        <w:rPr>
                          <w:rFonts w:cs="Arial"/>
                          <w:sz w:val="20"/>
                          <w:szCs w:val="20"/>
                          <w:lang w:val="en-NZ"/>
                        </w:rPr>
                        <w:t>Product assessments against national and state Healthy School Canteen guideline nutrient criteria</w:t>
                      </w:r>
                    </w:p>
                    <w:p w14:paraId="0333F339" w14:textId="2BA3F744" w:rsidR="008429DD" w:rsidRPr="003D1226" w:rsidRDefault="008429DD" w:rsidP="003D1226">
                      <w:pPr>
                        <w:pStyle w:val="ListParagraph"/>
                        <w:numPr>
                          <w:ilvl w:val="0"/>
                          <w:numId w:val="15"/>
                        </w:numPr>
                        <w:spacing w:after="160" w:line="259" w:lineRule="auto"/>
                        <w:ind w:left="284" w:hanging="284"/>
                        <w:rPr>
                          <w:rFonts w:cs="Arial"/>
                          <w:b/>
                          <w:sz w:val="20"/>
                          <w:szCs w:val="20"/>
                          <w:lang w:val="en-NZ"/>
                        </w:rPr>
                      </w:pPr>
                      <w:r>
                        <w:rPr>
                          <w:rFonts w:cs="Arial"/>
                          <w:sz w:val="20"/>
                          <w:szCs w:val="20"/>
                          <w:lang w:val="en-NZ"/>
                        </w:rPr>
                        <w:t>A</w:t>
                      </w:r>
                      <w:r w:rsidRPr="00A10736">
                        <w:rPr>
                          <w:rFonts w:cs="Arial"/>
                          <w:sz w:val="20"/>
                          <w:szCs w:val="20"/>
                          <w:lang w:val="en-NZ"/>
                        </w:rPr>
                        <w:t xml:space="preserve">ssessment against state </w:t>
                      </w:r>
                      <w:r>
                        <w:rPr>
                          <w:rFonts w:cs="Arial"/>
                          <w:sz w:val="20"/>
                          <w:szCs w:val="20"/>
                          <w:lang w:val="en-NZ"/>
                        </w:rPr>
                        <w:t xml:space="preserve">nutrient criteria for Health Services (retail and inpatients) </w:t>
                      </w:r>
                    </w:p>
                    <w:p w14:paraId="2C6A0BF4" w14:textId="77777777" w:rsidR="008429DD" w:rsidRPr="00D5768F" w:rsidRDefault="008429DD" w:rsidP="00204C5B">
                      <w:pPr>
                        <w:pStyle w:val="ListParagraph"/>
                        <w:numPr>
                          <w:ilvl w:val="0"/>
                          <w:numId w:val="15"/>
                        </w:numPr>
                        <w:spacing w:after="160" w:line="259" w:lineRule="auto"/>
                        <w:ind w:left="284" w:hanging="284"/>
                        <w:rPr>
                          <w:rFonts w:cs="Arial"/>
                          <w:b/>
                          <w:sz w:val="20"/>
                          <w:szCs w:val="20"/>
                          <w:lang w:val="en-NZ"/>
                        </w:rPr>
                      </w:pPr>
                      <w:r>
                        <w:rPr>
                          <w:rFonts w:cs="Arial"/>
                          <w:sz w:val="20"/>
                          <w:szCs w:val="20"/>
                          <w:lang w:val="en-NZ"/>
                        </w:rPr>
                        <w:t>Patient education</w:t>
                      </w:r>
                    </w:p>
                    <w:p w14:paraId="7B596954" w14:textId="77777777" w:rsidR="008429DD" w:rsidRPr="00444B68" w:rsidRDefault="008429DD" w:rsidP="00204C5B">
                      <w:pPr>
                        <w:pStyle w:val="ListParagraph"/>
                        <w:numPr>
                          <w:ilvl w:val="0"/>
                          <w:numId w:val="15"/>
                        </w:numPr>
                        <w:spacing w:after="160" w:line="259" w:lineRule="auto"/>
                        <w:ind w:left="284" w:hanging="284"/>
                        <w:rPr>
                          <w:rFonts w:cs="Arial"/>
                          <w:b/>
                          <w:sz w:val="20"/>
                          <w:szCs w:val="20"/>
                          <w:lang w:val="en-NZ"/>
                        </w:rPr>
                      </w:pPr>
                      <w:r>
                        <w:rPr>
                          <w:rFonts w:cs="Arial"/>
                          <w:sz w:val="20"/>
                          <w:szCs w:val="20"/>
                          <w:lang w:val="en-NZ"/>
                        </w:rPr>
                        <w:t>Nutrition education of the general population</w:t>
                      </w:r>
                    </w:p>
                  </w:txbxContent>
                </v:textbox>
              </v:shape>
            </w:pict>
          </mc:Fallback>
        </mc:AlternateContent>
      </w:r>
    </w:p>
    <w:p w14:paraId="0E94053F" w14:textId="691E9F19" w:rsidR="00204C5B" w:rsidRDefault="00204C5B">
      <w:pPr>
        <w:widowControl/>
        <w:rPr>
          <w:lang w:bidi="ar-SA"/>
        </w:rPr>
      </w:pPr>
    </w:p>
    <w:p w14:paraId="5F99ECAB" w14:textId="3BCE65CD" w:rsidR="00204C5B" w:rsidRDefault="00204C5B">
      <w:pPr>
        <w:widowControl/>
        <w:rPr>
          <w:lang w:bidi="ar-SA"/>
        </w:rPr>
      </w:pPr>
    </w:p>
    <w:p w14:paraId="2F195176" w14:textId="77777777" w:rsidR="00204C5B" w:rsidRDefault="00204C5B">
      <w:pPr>
        <w:widowControl/>
        <w:rPr>
          <w:lang w:bidi="ar-SA"/>
        </w:rPr>
      </w:pPr>
    </w:p>
    <w:p w14:paraId="7956E093" w14:textId="77777777" w:rsidR="00204C5B" w:rsidRDefault="00204C5B">
      <w:pPr>
        <w:widowControl/>
        <w:rPr>
          <w:lang w:bidi="ar-SA"/>
        </w:rPr>
      </w:pPr>
    </w:p>
    <w:p w14:paraId="14F256E6" w14:textId="77777777" w:rsidR="00204C5B" w:rsidRDefault="00204C5B">
      <w:pPr>
        <w:widowControl/>
        <w:rPr>
          <w:lang w:bidi="ar-SA"/>
        </w:rPr>
      </w:pPr>
    </w:p>
    <w:p w14:paraId="2FFC73D2" w14:textId="77777777" w:rsidR="00204C5B" w:rsidRDefault="00204C5B">
      <w:pPr>
        <w:widowControl/>
        <w:rPr>
          <w:lang w:bidi="ar-SA"/>
        </w:rPr>
      </w:pPr>
    </w:p>
    <w:p w14:paraId="02F416F6" w14:textId="77777777" w:rsidR="00204C5B" w:rsidRDefault="00204C5B">
      <w:pPr>
        <w:widowControl/>
        <w:rPr>
          <w:lang w:bidi="ar-SA"/>
        </w:rPr>
      </w:pPr>
    </w:p>
    <w:p w14:paraId="69217C69" w14:textId="77777777" w:rsidR="00204C5B" w:rsidRDefault="00204C5B">
      <w:pPr>
        <w:widowControl/>
        <w:rPr>
          <w:lang w:bidi="ar-SA"/>
        </w:rPr>
      </w:pPr>
    </w:p>
    <w:p w14:paraId="44AEA5F5" w14:textId="77777777" w:rsidR="00204C5B" w:rsidRDefault="00204C5B">
      <w:pPr>
        <w:widowControl/>
        <w:rPr>
          <w:lang w:bidi="ar-SA"/>
        </w:rPr>
      </w:pPr>
    </w:p>
    <w:p w14:paraId="7B21825D" w14:textId="77777777" w:rsidR="00204C5B" w:rsidRDefault="00204C5B">
      <w:pPr>
        <w:widowControl/>
        <w:rPr>
          <w:lang w:bidi="ar-SA"/>
        </w:rPr>
      </w:pPr>
    </w:p>
    <w:p w14:paraId="4F932C3C" w14:textId="77777777" w:rsidR="00204C5B" w:rsidRDefault="00204C5B">
      <w:pPr>
        <w:widowControl/>
        <w:rPr>
          <w:lang w:bidi="ar-SA"/>
        </w:rPr>
      </w:pPr>
    </w:p>
    <w:p w14:paraId="5C14DCC7" w14:textId="77777777" w:rsidR="00204C5B" w:rsidRDefault="00204C5B">
      <w:pPr>
        <w:widowControl/>
        <w:rPr>
          <w:lang w:bidi="ar-SA"/>
        </w:rPr>
      </w:pPr>
    </w:p>
    <w:p w14:paraId="2766961C" w14:textId="77777777" w:rsidR="00204C5B" w:rsidRDefault="00204C5B">
      <w:pPr>
        <w:widowControl/>
        <w:rPr>
          <w:lang w:bidi="ar-SA"/>
        </w:rPr>
      </w:pPr>
    </w:p>
    <w:p w14:paraId="25998584" w14:textId="77777777" w:rsidR="00204C5B" w:rsidRDefault="00204C5B">
      <w:pPr>
        <w:widowControl/>
        <w:rPr>
          <w:lang w:bidi="ar-SA"/>
        </w:rPr>
      </w:pPr>
    </w:p>
    <w:p w14:paraId="0DA3EE86" w14:textId="77777777" w:rsidR="00204C5B" w:rsidRDefault="00204C5B">
      <w:pPr>
        <w:widowControl/>
        <w:rPr>
          <w:lang w:bidi="ar-SA"/>
        </w:rPr>
      </w:pPr>
    </w:p>
    <w:p w14:paraId="40AA95D0" w14:textId="77777777" w:rsidR="00204C5B" w:rsidRDefault="00204C5B">
      <w:pPr>
        <w:widowControl/>
        <w:rPr>
          <w:lang w:bidi="ar-SA"/>
        </w:rPr>
      </w:pPr>
    </w:p>
    <w:p w14:paraId="134409EB" w14:textId="369A90DA" w:rsidR="00204C5B" w:rsidRDefault="00204C5B">
      <w:pPr>
        <w:widowControl/>
        <w:rPr>
          <w:lang w:bidi="ar-SA"/>
        </w:rPr>
      </w:pPr>
      <w:r w:rsidRPr="00B00310">
        <w:rPr>
          <w:b/>
          <w:lang w:bidi="ar-SA"/>
        </w:rPr>
        <w:t>Figure 2</w:t>
      </w:r>
      <w:r>
        <w:rPr>
          <w:lang w:bidi="ar-SA"/>
        </w:rPr>
        <w:t>:  Uses of per serving information in the NIP</w:t>
      </w:r>
      <w:r>
        <w:rPr>
          <w:lang w:bidi="ar-SA"/>
        </w:rPr>
        <w:br w:type="page"/>
      </w:r>
    </w:p>
    <w:p w14:paraId="157CB3D6" w14:textId="77777777" w:rsidR="00810A8A" w:rsidRDefault="00810A8A" w:rsidP="00810A8A">
      <w:pPr>
        <w:pStyle w:val="Heading3"/>
      </w:pPr>
      <w:r>
        <w:lastRenderedPageBreak/>
        <w:t>3.4.2</w:t>
      </w:r>
      <w:r>
        <w:tab/>
        <w:t>Reasons for supporting/not supporting Recommendation 17</w:t>
      </w:r>
    </w:p>
    <w:p w14:paraId="6C0BC446" w14:textId="77777777" w:rsidR="00810A8A" w:rsidRDefault="00810A8A" w:rsidP="00810A8A">
      <w:pPr>
        <w:rPr>
          <w:lang w:bidi="ar-SA"/>
        </w:rPr>
      </w:pPr>
      <w:r>
        <w:rPr>
          <w:lang w:bidi="ar-SA"/>
        </w:rPr>
        <w:t>Figure 3 shows that the majority of submitters did not support Recommendation 17 and that this view is shared by all stakeholder groups.</w:t>
      </w:r>
    </w:p>
    <w:p w14:paraId="1A759FBA" w14:textId="77777777" w:rsidR="00810A8A" w:rsidRDefault="00810A8A" w:rsidP="00810A8A">
      <w:pPr>
        <w:rPr>
          <w:lang w:bidi="ar-SA"/>
        </w:rPr>
      </w:pPr>
    </w:p>
    <w:p w14:paraId="2D7D646F" w14:textId="5A19EB32" w:rsidR="00810A8A" w:rsidRDefault="00342F6C" w:rsidP="00810A8A">
      <w:pPr>
        <w:rPr>
          <w:lang w:bidi="ar-SA"/>
        </w:rPr>
      </w:pPr>
      <w:r>
        <w:rPr>
          <w:noProof/>
          <w:lang w:eastAsia="en-GB" w:bidi="ar-SA"/>
        </w:rPr>
        <w:drawing>
          <wp:inline distT="0" distB="0" distL="0" distR="0" wp14:anchorId="2F60D487" wp14:editId="11996067">
            <wp:extent cx="5419725" cy="30003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A7AFBF" w14:textId="77777777" w:rsidR="00342F6C" w:rsidRPr="00342F6C" w:rsidRDefault="00342F6C" w:rsidP="00810A8A">
      <w:pPr>
        <w:widowControl/>
        <w:spacing w:after="160" w:line="259" w:lineRule="auto"/>
        <w:rPr>
          <w:rFonts w:cs="Arial"/>
          <w:sz w:val="16"/>
          <w:szCs w:val="16"/>
          <w:lang w:val="pl-PL" w:bidi="ar-SA"/>
        </w:rPr>
      </w:pPr>
    </w:p>
    <w:p w14:paraId="3987634E" w14:textId="77777777" w:rsidR="00810A8A" w:rsidRPr="000D1E2E" w:rsidRDefault="00810A8A" w:rsidP="00810A8A">
      <w:pPr>
        <w:widowControl/>
        <w:spacing w:after="160" w:line="259" w:lineRule="auto"/>
        <w:rPr>
          <w:rFonts w:cs="Arial"/>
          <w:szCs w:val="22"/>
          <w:lang w:val="en-NZ" w:bidi="ar-SA"/>
        </w:rPr>
      </w:pPr>
      <w:r w:rsidRPr="00D841E6">
        <w:rPr>
          <w:rFonts w:cs="Arial"/>
          <w:b/>
          <w:szCs w:val="22"/>
          <w:lang w:val="en-NZ" w:bidi="ar-SA"/>
        </w:rPr>
        <w:t>Figure 3:</w:t>
      </w:r>
      <w:r w:rsidRPr="00DF1DA6">
        <w:rPr>
          <w:rFonts w:cs="Arial"/>
          <w:szCs w:val="22"/>
          <w:lang w:val="en-NZ" w:bidi="ar-SA"/>
        </w:rPr>
        <w:t xml:space="preserve"> </w:t>
      </w:r>
      <w:r>
        <w:rPr>
          <w:rFonts w:cs="Arial"/>
          <w:szCs w:val="22"/>
          <w:lang w:val="en-NZ" w:bidi="ar-SA"/>
        </w:rPr>
        <w:t xml:space="preserve"> Submitter views of</w:t>
      </w:r>
      <w:r w:rsidRPr="00DF1DA6">
        <w:rPr>
          <w:rFonts w:cs="Arial"/>
          <w:szCs w:val="22"/>
          <w:lang w:val="en-NZ" w:bidi="ar-SA"/>
        </w:rPr>
        <w:t xml:space="preserve"> Labelling Review Recommendation 17, by stakeholder group</w:t>
      </w:r>
    </w:p>
    <w:p w14:paraId="19F970C5" w14:textId="236A3334" w:rsidR="00810A8A" w:rsidRDefault="00810A8A" w:rsidP="00810A8A">
      <w:pPr>
        <w:widowControl/>
        <w:rPr>
          <w:lang w:bidi="ar-SA"/>
        </w:rPr>
      </w:pPr>
      <w:r>
        <w:rPr>
          <w:lang w:bidi="ar-SA"/>
        </w:rPr>
        <w:t>Five industry submitters did not express a clear preference for or against Recommendation</w:t>
      </w:r>
      <w:r w:rsidR="00CE3604">
        <w:rPr>
          <w:lang w:bidi="ar-SA"/>
        </w:rPr>
        <w:t> </w:t>
      </w:r>
      <w:r>
        <w:rPr>
          <w:lang w:bidi="ar-SA"/>
        </w:rPr>
        <w:t xml:space="preserve">17. Two submitters suggested that per serving information in the NIP should be voluntary for foods that contain more than one serving, but mandatory for foods that are consumed at one eating occasion. One of the submitters was uncertain about Recommendation 17, another had a neutral position and the other commented that the benefit of the </w:t>
      </w:r>
      <w:r w:rsidR="00CE3604">
        <w:rPr>
          <w:lang w:bidi="ar-SA"/>
        </w:rPr>
        <w:t>r</w:t>
      </w:r>
      <w:r>
        <w:rPr>
          <w:lang w:bidi="ar-SA"/>
        </w:rPr>
        <w:t>ecommendation was unclear</w:t>
      </w:r>
      <w:r w:rsidR="00EF242E">
        <w:rPr>
          <w:lang w:bidi="ar-SA"/>
        </w:rPr>
        <w:t>.</w:t>
      </w:r>
    </w:p>
    <w:p w14:paraId="108DE959" w14:textId="77777777" w:rsidR="00EF242E" w:rsidRPr="000D1E2E" w:rsidRDefault="00EF242E" w:rsidP="00810A8A">
      <w:pPr>
        <w:widowControl/>
        <w:rPr>
          <w:rFonts w:ascii="Times New Roman" w:hAnsi="Times New Roman"/>
          <w:sz w:val="24"/>
          <w:lang w:val="en-NZ" w:eastAsia="en-NZ" w:bidi="ar-SA"/>
        </w:rPr>
      </w:pPr>
    </w:p>
    <w:p w14:paraId="0F3EF187" w14:textId="43D5E472" w:rsidR="00444B68" w:rsidRDefault="000D1E2E" w:rsidP="0031283F">
      <w:pPr>
        <w:rPr>
          <w:lang w:val="en-NZ" w:bidi="ar-SA"/>
        </w:rPr>
      </w:pPr>
      <w:r>
        <w:rPr>
          <w:lang w:val="en-NZ" w:bidi="ar-SA"/>
        </w:rPr>
        <w:t>Submitters provided many reasons for not supporting Recommendation 17. The main themes were:</w:t>
      </w:r>
    </w:p>
    <w:p w14:paraId="70A102AB" w14:textId="6FEC7586" w:rsidR="00ED6A25" w:rsidRDefault="00ED6A25" w:rsidP="0031283F">
      <w:pPr>
        <w:rPr>
          <w:lang w:val="en-NZ" w:bidi="ar-SA"/>
        </w:rPr>
      </w:pPr>
    </w:p>
    <w:p w14:paraId="71A7F56E" w14:textId="052C61EF" w:rsidR="00ED6A25" w:rsidRDefault="00ED6A25" w:rsidP="00ED6A25">
      <w:pPr>
        <w:pStyle w:val="FSBullet"/>
        <w:numPr>
          <w:ilvl w:val="0"/>
          <w:numId w:val="25"/>
        </w:numPr>
        <w:ind w:left="567" w:hanging="567"/>
        <w:rPr>
          <w:lang w:eastAsia="en-AU"/>
        </w:rPr>
      </w:pPr>
      <w:r>
        <w:rPr>
          <w:lang w:eastAsia="en-AU"/>
        </w:rPr>
        <w:t>lack of a defined problem with per serving information in the NIP</w:t>
      </w:r>
      <w:r w:rsidR="001D561E">
        <w:rPr>
          <w:lang w:eastAsia="en-AU"/>
        </w:rPr>
        <w:t xml:space="preserve"> and lack of an apparent benefit from implementing Recommendation 17</w:t>
      </w:r>
    </w:p>
    <w:p w14:paraId="5DE8BAE2" w14:textId="5716EA25" w:rsidR="00ED6A25" w:rsidRDefault="00ED6A25" w:rsidP="00ED6A25">
      <w:pPr>
        <w:pStyle w:val="FSDash"/>
        <w:rPr>
          <w:lang w:eastAsia="en-AU"/>
        </w:rPr>
      </w:pPr>
      <w:r>
        <w:rPr>
          <w:lang w:eastAsia="en-AU"/>
        </w:rPr>
        <w:t>little evidence available on c</w:t>
      </w:r>
      <w:r w:rsidR="004B38B2">
        <w:rPr>
          <w:lang w:eastAsia="en-AU"/>
        </w:rPr>
        <w:t>onsumer use and understanding of</w:t>
      </w:r>
      <w:r>
        <w:rPr>
          <w:lang w:eastAsia="en-AU"/>
        </w:rPr>
        <w:t xml:space="preserve"> per serving information in Australia and New Zealand</w:t>
      </w:r>
    </w:p>
    <w:p w14:paraId="7FD100C5" w14:textId="55D846CC" w:rsidR="001D561E" w:rsidRDefault="007C4C68" w:rsidP="001D561E">
      <w:pPr>
        <w:pStyle w:val="FSDash"/>
        <w:rPr>
          <w:lang w:eastAsia="en-AU"/>
        </w:rPr>
      </w:pPr>
      <w:r>
        <w:rPr>
          <w:lang w:eastAsia="en-AU"/>
        </w:rPr>
        <w:t>removal of the mandatory requirement for per serving information is an inappropriate regulatory reform</w:t>
      </w:r>
    </w:p>
    <w:p w14:paraId="352D01FA" w14:textId="77777777" w:rsidR="007C4C68" w:rsidRDefault="007C4C68" w:rsidP="007C4C68">
      <w:pPr>
        <w:pStyle w:val="FSDash"/>
        <w:numPr>
          <w:ilvl w:val="0"/>
          <w:numId w:val="0"/>
        </w:numPr>
        <w:rPr>
          <w:lang w:eastAsia="en-AU"/>
        </w:rPr>
      </w:pPr>
    </w:p>
    <w:p w14:paraId="1AB1A545" w14:textId="0C99F9F5" w:rsidR="007C4C68" w:rsidRDefault="007C4C68" w:rsidP="00ED6A25">
      <w:pPr>
        <w:pStyle w:val="ListParagraph"/>
        <w:numPr>
          <w:ilvl w:val="0"/>
          <w:numId w:val="24"/>
        </w:numPr>
        <w:ind w:left="567" w:hanging="567"/>
        <w:rPr>
          <w:lang w:eastAsia="en-AU"/>
        </w:rPr>
      </w:pPr>
      <w:r>
        <w:rPr>
          <w:lang w:eastAsia="en-AU"/>
        </w:rPr>
        <w:t>lack of evidence of the impact of implementing Recommendation</w:t>
      </w:r>
      <w:r w:rsidR="001D561E">
        <w:rPr>
          <w:lang w:eastAsia="en-AU"/>
        </w:rPr>
        <w:t xml:space="preserve"> 17</w:t>
      </w:r>
    </w:p>
    <w:p w14:paraId="1E621337" w14:textId="0A16F01E" w:rsidR="007C4C68" w:rsidRDefault="007C4C68" w:rsidP="007C4C68">
      <w:pPr>
        <w:pStyle w:val="FSDash"/>
        <w:rPr>
          <w:lang w:eastAsia="en-AU"/>
        </w:rPr>
      </w:pPr>
      <w:r>
        <w:rPr>
          <w:lang w:eastAsia="en-AU" w:bidi="ar-SA"/>
        </w:rPr>
        <w:t>the extent to which per serving information might be removed if it was voluntary</w:t>
      </w:r>
      <w:r w:rsidR="001D561E">
        <w:rPr>
          <w:lang w:eastAsia="en-AU" w:bidi="ar-SA"/>
        </w:rPr>
        <w:t xml:space="preserve"> is not clear</w:t>
      </w:r>
    </w:p>
    <w:p w14:paraId="32EA522A" w14:textId="05460309" w:rsidR="007C4C68" w:rsidRDefault="007C4C68" w:rsidP="007C4C68">
      <w:pPr>
        <w:pStyle w:val="FSDash"/>
        <w:rPr>
          <w:lang w:eastAsia="en-AU"/>
        </w:rPr>
      </w:pPr>
      <w:r>
        <w:rPr>
          <w:lang w:eastAsia="en-AU" w:bidi="ar-SA"/>
        </w:rPr>
        <w:t xml:space="preserve">the impact of increased </w:t>
      </w:r>
      <w:r w:rsidR="001D561E">
        <w:rPr>
          <w:lang w:eastAsia="en-AU" w:bidi="ar-SA"/>
        </w:rPr>
        <w:t>variability in the content and format of the NIP</w:t>
      </w:r>
      <w:r>
        <w:rPr>
          <w:lang w:eastAsia="en-AU" w:bidi="ar-SA"/>
        </w:rPr>
        <w:t xml:space="preserve"> on consumer understanding of the NIP in general</w:t>
      </w:r>
      <w:r w:rsidR="001D561E">
        <w:rPr>
          <w:lang w:eastAsia="en-AU" w:bidi="ar-SA"/>
        </w:rPr>
        <w:t xml:space="preserve"> is unknown</w:t>
      </w:r>
    </w:p>
    <w:p w14:paraId="1139C2A2" w14:textId="27586521" w:rsidR="00ED6A25" w:rsidRPr="001D561E" w:rsidRDefault="007C4C68" w:rsidP="001D561E">
      <w:pPr>
        <w:pStyle w:val="FSDash"/>
        <w:rPr>
          <w:lang w:eastAsia="en-AU"/>
        </w:rPr>
      </w:pPr>
      <w:r>
        <w:rPr>
          <w:lang w:eastAsia="en-AU" w:bidi="ar-SA"/>
        </w:rPr>
        <w:t>the impact of the removal of per serving information on consumer choice and understanding of th</w:t>
      </w:r>
      <w:r w:rsidR="001D561E">
        <w:rPr>
          <w:lang w:eastAsia="en-AU" w:bidi="ar-SA"/>
        </w:rPr>
        <w:t>e nutritional value of the food is unknown.</w:t>
      </w:r>
    </w:p>
    <w:p w14:paraId="4F0578AF" w14:textId="77777777" w:rsidR="00B16F8D" w:rsidRPr="000825A5" w:rsidRDefault="00B16F8D" w:rsidP="000825A5">
      <w:pPr>
        <w:rPr>
          <w:lang w:val="en-NZ"/>
        </w:rPr>
      </w:pPr>
    </w:p>
    <w:p w14:paraId="5D153480" w14:textId="2377BB4C" w:rsidR="00B16F8D" w:rsidRDefault="00BC01A5" w:rsidP="00B16F8D">
      <w:pPr>
        <w:pStyle w:val="ListParagraph"/>
        <w:numPr>
          <w:ilvl w:val="0"/>
          <w:numId w:val="16"/>
        </w:numPr>
        <w:ind w:left="567" w:hanging="567"/>
        <w:rPr>
          <w:lang w:val="en-NZ"/>
        </w:rPr>
      </w:pPr>
      <w:r>
        <w:rPr>
          <w:lang w:val="en-NZ"/>
        </w:rPr>
        <w:t xml:space="preserve">impact of </w:t>
      </w:r>
      <w:r w:rsidR="00EF242E">
        <w:rPr>
          <w:lang w:val="en-NZ"/>
        </w:rPr>
        <w:t>voluntary per serving information in the NIP</w:t>
      </w:r>
      <w:r w:rsidR="000D1E2E">
        <w:rPr>
          <w:lang w:val="en-NZ"/>
        </w:rPr>
        <w:t xml:space="preserve"> </w:t>
      </w:r>
      <w:r w:rsidR="000825A5">
        <w:rPr>
          <w:lang w:val="en-NZ"/>
        </w:rPr>
        <w:t>on consumers</w:t>
      </w:r>
    </w:p>
    <w:p w14:paraId="1027F761" w14:textId="18879CC1" w:rsidR="000825A5" w:rsidRPr="000825A5" w:rsidRDefault="000825A5" w:rsidP="00BD1B68">
      <w:pPr>
        <w:pStyle w:val="FSDash"/>
        <w:rPr>
          <w:lang w:val="en-NZ"/>
        </w:rPr>
      </w:pPr>
      <w:r>
        <w:rPr>
          <w:lang w:val="en-NZ"/>
        </w:rPr>
        <w:t xml:space="preserve">management of diets for those with chronic disease (e.g. diabetes, kidney </w:t>
      </w:r>
      <w:r>
        <w:rPr>
          <w:lang w:val="en-NZ"/>
        </w:rPr>
        <w:lastRenderedPageBreak/>
        <w:t>disease) and inborn errors of metabolism such as phenylketonuria would be much more challenging</w:t>
      </w:r>
    </w:p>
    <w:p w14:paraId="6F626918" w14:textId="428AE9E3" w:rsidR="00BC01A5" w:rsidRDefault="000825A5" w:rsidP="00BD1B68">
      <w:pPr>
        <w:pStyle w:val="FSDash"/>
        <w:rPr>
          <w:lang w:val="en-NZ"/>
        </w:rPr>
      </w:pPr>
      <w:r>
        <w:rPr>
          <w:lang w:val="en-NZ"/>
        </w:rPr>
        <w:t>i</w:t>
      </w:r>
      <w:r w:rsidR="00BC01A5">
        <w:rPr>
          <w:lang w:val="en-NZ"/>
        </w:rPr>
        <w:t>ncreased consumer confusion</w:t>
      </w:r>
      <w:r w:rsidR="00EF242E">
        <w:rPr>
          <w:lang w:val="en-NZ"/>
        </w:rPr>
        <w:t xml:space="preserve"> from variability in NIPs</w:t>
      </w:r>
    </w:p>
    <w:p w14:paraId="0728E037" w14:textId="3136C1D2" w:rsidR="00AE717B" w:rsidRPr="00AE717B" w:rsidRDefault="00AE717B" w:rsidP="00AE717B">
      <w:pPr>
        <w:pStyle w:val="FSDash"/>
        <w:rPr>
          <w:lang w:val="en-NZ"/>
        </w:rPr>
      </w:pPr>
      <w:r w:rsidRPr="00AE717B">
        <w:rPr>
          <w:lang w:val="en-NZ"/>
        </w:rPr>
        <w:t xml:space="preserve">possible confusion </w:t>
      </w:r>
      <w:r>
        <w:t>if amounts of energy, saturated fat, sugars and sodium are presented per pack (i.e. per serving) or per industry agreed serving size as part of the Health Star Rating system but not provided per serving in the NIP</w:t>
      </w:r>
    </w:p>
    <w:p w14:paraId="1C5DFF3B" w14:textId="6FB829CF" w:rsidR="00B16F8D" w:rsidRDefault="00B16F8D" w:rsidP="00BD1B68">
      <w:pPr>
        <w:pStyle w:val="FSDash"/>
        <w:rPr>
          <w:lang w:val="en-NZ"/>
        </w:rPr>
      </w:pPr>
      <w:r>
        <w:rPr>
          <w:lang w:val="en-NZ"/>
        </w:rPr>
        <w:t xml:space="preserve">more time needed for manual calculation </w:t>
      </w:r>
    </w:p>
    <w:p w14:paraId="6E51E352" w14:textId="391C57F3" w:rsidR="00B16F8D" w:rsidRDefault="00B16F8D" w:rsidP="00BD1B68">
      <w:pPr>
        <w:pStyle w:val="FSDash"/>
        <w:rPr>
          <w:lang w:val="en-NZ"/>
        </w:rPr>
      </w:pPr>
      <w:r>
        <w:rPr>
          <w:lang w:val="en-NZ"/>
        </w:rPr>
        <w:t>increased literacy and numeracy skills</w:t>
      </w:r>
      <w:r w:rsidR="00BC01A5">
        <w:rPr>
          <w:lang w:val="en-NZ"/>
        </w:rPr>
        <w:t xml:space="preserve"> required</w:t>
      </w:r>
    </w:p>
    <w:p w14:paraId="247C5DA0" w14:textId="252184BB" w:rsidR="00B16F8D" w:rsidRDefault="00B16F8D" w:rsidP="00BD1B68">
      <w:pPr>
        <w:pStyle w:val="FSDash"/>
        <w:rPr>
          <w:lang w:val="en-NZ"/>
        </w:rPr>
      </w:pPr>
      <w:r>
        <w:rPr>
          <w:lang w:val="en-NZ"/>
        </w:rPr>
        <w:t>harder to visualise what 100</w:t>
      </w:r>
      <w:r w:rsidR="004B38B2">
        <w:rPr>
          <w:lang w:val="en-NZ"/>
        </w:rPr>
        <w:t xml:space="preserve"> </w:t>
      </w:r>
      <w:r>
        <w:rPr>
          <w:lang w:val="en-NZ"/>
        </w:rPr>
        <w:t>g food looks like</w:t>
      </w:r>
    </w:p>
    <w:p w14:paraId="428F520C" w14:textId="0F4B6AF5" w:rsidR="00B16F8D" w:rsidRDefault="00B16F8D" w:rsidP="00BD1B68">
      <w:pPr>
        <w:pStyle w:val="FSDash"/>
        <w:rPr>
          <w:lang w:val="en-NZ"/>
        </w:rPr>
      </w:pPr>
      <w:r>
        <w:rPr>
          <w:lang w:val="en-NZ"/>
        </w:rPr>
        <w:t>NIP may end up smaller and harder to read</w:t>
      </w:r>
    </w:p>
    <w:p w14:paraId="040B9286" w14:textId="2CD23CC1" w:rsidR="00305747" w:rsidRDefault="00BC01A5" w:rsidP="00BD1B68">
      <w:pPr>
        <w:pStyle w:val="FSDash"/>
        <w:rPr>
          <w:lang w:val="en-NZ"/>
        </w:rPr>
      </w:pPr>
      <w:r>
        <w:rPr>
          <w:lang w:val="en-NZ"/>
        </w:rPr>
        <w:t>h</w:t>
      </w:r>
      <w:r w:rsidR="00305747">
        <w:rPr>
          <w:lang w:val="en-NZ"/>
        </w:rPr>
        <w:t>arder to compare nutrient value of single serve foods</w:t>
      </w:r>
    </w:p>
    <w:p w14:paraId="0379EB56" w14:textId="1B9D5518" w:rsidR="00630E10" w:rsidRDefault="00BC01A5" w:rsidP="00BD1B68">
      <w:pPr>
        <w:pStyle w:val="FSDash"/>
        <w:rPr>
          <w:lang w:val="en-NZ"/>
        </w:rPr>
      </w:pPr>
      <w:r>
        <w:rPr>
          <w:lang w:val="en-NZ"/>
        </w:rPr>
        <w:t>c</w:t>
      </w:r>
      <w:r w:rsidR="00630E10">
        <w:rPr>
          <w:lang w:val="en-NZ"/>
        </w:rPr>
        <w:t>ould be misleading to provide nutrient information per 100</w:t>
      </w:r>
      <w:r w:rsidR="004B38B2">
        <w:rPr>
          <w:lang w:val="en-NZ"/>
        </w:rPr>
        <w:t xml:space="preserve"> </w:t>
      </w:r>
      <w:r w:rsidR="00630E10">
        <w:rPr>
          <w:lang w:val="en-NZ"/>
        </w:rPr>
        <w:t>g only when typical serving size is a lot smaller or larger than 100</w:t>
      </w:r>
      <w:r w:rsidR="004B38B2">
        <w:rPr>
          <w:lang w:val="en-NZ"/>
        </w:rPr>
        <w:t xml:space="preserve"> </w:t>
      </w:r>
      <w:r w:rsidR="00630E10">
        <w:rPr>
          <w:lang w:val="en-NZ"/>
        </w:rPr>
        <w:t>g/</w:t>
      </w:r>
      <w:r w:rsidR="004B38B2">
        <w:rPr>
          <w:lang w:val="en-NZ"/>
        </w:rPr>
        <w:t xml:space="preserve">100 </w:t>
      </w:r>
      <w:r w:rsidR="00630E10">
        <w:rPr>
          <w:lang w:val="en-NZ"/>
        </w:rPr>
        <w:t>mL</w:t>
      </w:r>
    </w:p>
    <w:p w14:paraId="7C9012FA" w14:textId="77777777" w:rsidR="00CE3604" w:rsidRDefault="000825A5" w:rsidP="00BD1B68">
      <w:pPr>
        <w:pStyle w:val="FSDash"/>
        <w:rPr>
          <w:lang w:val="en-NZ"/>
        </w:rPr>
      </w:pPr>
      <w:r w:rsidRPr="000825A5">
        <w:rPr>
          <w:lang w:val="en-NZ"/>
        </w:rPr>
        <w:t>lack of apparent benefit to consumers</w:t>
      </w:r>
    </w:p>
    <w:p w14:paraId="11528087" w14:textId="59E356DF" w:rsidR="000825A5" w:rsidRPr="000825A5" w:rsidRDefault="000825A5" w:rsidP="00BD1B68">
      <w:pPr>
        <w:pStyle w:val="FSDash"/>
        <w:rPr>
          <w:lang w:val="en-NZ"/>
        </w:rPr>
      </w:pPr>
      <w:r w:rsidRPr="000825A5">
        <w:rPr>
          <w:lang w:val="en-NZ"/>
        </w:rPr>
        <w:t>not in line with the FSANZ second objective to provide information for informed choice</w:t>
      </w:r>
    </w:p>
    <w:p w14:paraId="7C49CFC4" w14:textId="16219E04" w:rsidR="00BC01A5" w:rsidRPr="00B16F8D" w:rsidRDefault="00BD1B68" w:rsidP="00BC01A5">
      <w:pPr>
        <w:pStyle w:val="ListParagraph"/>
        <w:ind w:left="1440"/>
        <w:rPr>
          <w:lang w:val="en-NZ"/>
        </w:rPr>
      </w:pPr>
      <w:r>
        <w:rPr>
          <w:lang w:val="en-NZ"/>
        </w:rPr>
        <w:t xml:space="preserve"> </w:t>
      </w:r>
    </w:p>
    <w:p w14:paraId="077F61C7" w14:textId="77777777" w:rsidR="00BC01A5" w:rsidRDefault="00BC01A5" w:rsidP="000D1E2E">
      <w:pPr>
        <w:pStyle w:val="ListParagraph"/>
        <w:numPr>
          <w:ilvl w:val="0"/>
          <w:numId w:val="16"/>
        </w:numPr>
        <w:ind w:left="567" w:hanging="567"/>
        <w:rPr>
          <w:lang w:val="en-NZ"/>
        </w:rPr>
      </w:pPr>
      <w:r>
        <w:rPr>
          <w:lang w:val="en-NZ"/>
        </w:rPr>
        <w:t>impact on industry</w:t>
      </w:r>
    </w:p>
    <w:p w14:paraId="6670A072" w14:textId="0B06F57A" w:rsidR="000D1E2E" w:rsidRDefault="00B16F8D" w:rsidP="00BD1B68">
      <w:pPr>
        <w:pStyle w:val="FSDash"/>
        <w:rPr>
          <w:lang w:val="en-NZ"/>
        </w:rPr>
      </w:pPr>
      <w:r>
        <w:rPr>
          <w:lang w:val="en-NZ"/>
        </w:rPr>
        <w:t>may discourage industry from standardising serving size</w:t>
      </w:r>
      <w:r w:rsidR="00F509A7">
        <w:rPr>
          <w:lang w:val="en-NZ"/>
        </w:rPr>
        <w:t>s</w:t>
      </w:r>
    </w:p>
    <w:p w14:paraId="338863EB" w14:textId="77777777" w:rsidR="00BC01A5" w:rsidRDefault="00BC01A5" w:rsidP="00BD1B68">
      <w:pPr>
        <w:pStyle w:val="FSDash"/>
        <w:rPr>
          <w:lang w:val="en-NZ"/>
        </w:rPr>
      </w:pPr>
      <w:r w:rsidRPr="00BC01A5">
        <w:rPr>
          <w:lang w:val="en-NZ"/>
        </w:rPr>
        <w:t>not a level playing field for industry – some food businesses may gain a competitive advantage in including/not including per serving information</w:t>
      </w:r>
    </w:p>
    <w:p w14:paraId="20EC5C82" w14:textId="26C337B7" w:rsidR="00BC01A5" w:rsidRPr="00BC01A5" w:rsidRDefault="00BC01A5" w:rsidP="00BD1B68">
      <w:pPr>
        <w:pStyle w:val="FSDash"/>
        <w:rPr>
          <w:lang w:val="en-NZ"/>
        </w:rPr>
      </w:pPr>
      <w:r>
        <w:t>confusing for industry therefore inadvertent breaches of requirements more likely in an area where technical non-compliance</w:t>
      </w:r>
      <w:r w:rsidR="00CE3604">
        <w:t xml:space="preserve"> i</w:t>
      </w:r>
      <w:r>
        <w:t>s already high</w:t>
      </w:r>
    </w:p>
    <w:p w14:paraId="26A5BA53" w14:textId="77777777" w:rsidR="00BC01A5" w:rsidRPr="00BC01A5" w:rsidRDefault="00BC01A5" w:rsidP="00BD1B68">
      <w:pPr>
        <w:pStyle w:val="FSDash"/>
        <w:rPr>
          <w:lang w:val="en-NZ"/>
        </w:rPr>
      </w:pPr>
      <w:r>
        <w:t>might be seen as an industry strategy to limit consumer information which is not the case</w:t>
      </w:r>
    </w:p>
    <w:p w14:paraId="3EE9C67D" w14:textId="7D4E9077" w:rsidR="00BC01A5" w:rsidRPr="00BC01A5" w:rsidRDefault="00AB10AB" w:rsidP="00BD1B68">
      <w:pPr>
        <w:pStyle w:val="FSDash"/>
        <w:rPr>
          <w:lang w:val="en-NZ"/>
        </w:rPr>
      </w:pPr>
      <w:r>
        <w:t xml:space="preserve">as it would not reduce the </w:t>
      </w:r>
      <w:r w:rsidR="00BC01A5">
        <w:t>work for industry in preparing the NIP</w:t>
      </w:r>
      <w:r>
        <w:t>,</w:t>
      </w:r>
      <w:r w:rsidR="00BC01A5">
        <w:t xml:space="preserve"> what is the regulatory burden that would be reduced?</w:t>
      </w:r>
    </w:p>
    <w:p w14:paraId="131CE810" w14:textId="77777777" w:rsidR="00BC01A5" w:rsidRDefault="00BC01A5" w:rsidP="00BC01A5">
      <w:pPr>
        <w:pStyle w:val="ListParagraph"/>
        <w:ind w:left="1440"/>
        <w:rPr>
          <w:lang w:val="en-NZ"/>
        </w:rPr>
      </w:pPr>
    </w:p>
    <w:p w14:paraId="19BD9850" w14:textId="43510939" w:rsidR="00B16F8D" w:rsidRPr="00305747" w:rsidRDefault="00E2531C" w:rsidP="00B16F8D">
      <w:pPr>
        <w:pStyle w:val="ListParagraph"/>
        <w:numPr>
          <w:ilvl w:val="0"/>
          <w:numId w:val="16"/>
        </w:numPr>
        <w:ind w:left="567" w:hanging="567"/>
      </w:pPr>
      <w:r>
        <w:rPr>
          <w:lang w:val="en-NZ"/>
        </w:rPr>
        <w:t>a valued</w:t>
      </w:r>
      <w:r w:rsidR="00B16F8D">
        <w:rPr>
          <w:lang w:val="en-NZ"/>
        </w:rPr>
        <w:t xml:space="preserve"> nutrition education tool</w:t>
      </w:r>
      <w:r>
        <w:rPr>
          <w:lang w:val="en-NZ"/>
        </w:rPr>
        <w:t xml:space="preserve"> would be more complicated</w:t>
      </w:r>
    </w:p>
    <w:p w14:paraId="42E68AA4" w14:textId="3EA249A8" w:rsidR="00305747" w:rsidRDefault="000825A5" w:rsidP="00BD1B68">
      <w:pPr>
        <w:pStyle w:val="FSDash"/>
      </w:pPr>
      <w:r>
        <w:t>v</w:t>
      </w:r>
      <w:r w:rsidR="00305747">
        <w:t xml:space="preserve">ariability in information in the NIP </w:t>
      </w:r>
      <w:r w:rsidR="00F509A7">
        <w:t xml:space="preserve">would </w:t>
      </w:r>
      <w:r w:rsidR="00305747">
        <w:t>make education more difficult</w:t>
      </w:r>
    </w:p>
    <w:p w14:paraId="15614E03" w14:textId="21618E85" w:rsidR="00305747" w:rsidRDefault="00305747" w:rsidP="00BD1B68">
      <w:pPr>
        <w:pStyle w:val="FSDash"/>
      </w:pPr>
      <w:r>
        <w:t>may encourage overconsumption of foods in oversized portions</w:t>
      </w:r>
    </w:p>
    <w:p w14:paraId="58FD4E07" w14:textId="5A28108E" w:rsidR="00305747" w:rsidRDefault="000825A5" w:rsidP="00BD1B68">
      <w:pPr>
        <w:pStyle w:val="FSDash"/>
      </w:pPr>
      <w:r>
        <w:t>Health Star Rating system</w:t>
      </w:r>
      <w:r w:rsidR="00305747">
        <w:t xml:space="preserve"> should complement and not replace per serving information in the NIP</w:t>
      </w:r>
    </w:p>
    <w:p w14:paraId="1BCE83E4" w14:textId="19FE254B" w:rsidR="00305747" w:rsidRDefault="000825A5" w:rsidP="00BD1B68">
      <w:pPr>
        <w:pStyle w:val="FSDash"/>
      </w:pPr>
      <w:r>
        <w:t>m</w:t>
      </w:r>
      <w:r w:rsidR="00305747">
        <w:t>issed opportunity to educate consumers about nutrient profile (when serving size is realistic)</w:t>
      </w:r>
    </w:p>
    <w:p w14:paraId="36A54F19" w14:textId="41451B46" w:rsidR="00305747" w:rsidRDefault="000825A5" w:rsidP="00BD1B68">
      <w:pPr>
        <w:pStyle w:val="FSDash"/>
      </w:pPr>
      <w:r>
        <w:t>c</w:t>
      </w:r>
      <w:r w:rsidR="00305747">
        <w:t>onsumers would need to learn how to interpret NIPs with and without per serving information</w:t>
      </w:r>
    </w:p>
    <w:p w14:paraId="13E12616" w14:textId="40F334AE" w:rsidR="00305747" w:rsidRDefault="000825A5" w:rsidP="00BD1B68">
      <w:pPr>
        <w:pStyle w:val="FSDash"/>
      </w:pPr>
      <w:r>
        <w:t>g</w:t>
      </w:r>
      <w:r w:rsidR="00305747">
        <w:t xml:space="preserve">overnment and </w:t>
      </w:r>
      <w:r>
        <w:t>non-government</w:t>
      </w:r>
      <w:r w:rsidR="00305747">
        <w:t xml:space="preserve"> nutrition education resources refer to serving sizes </w:t>
      </w:r>
    </w:p>
    <w:p w14:paraId="249C733E" w14:textId="77777777" w:rsidR="000825A5" w:rsidRDefault="000825A5" w:rsidP="000825A5">
      <w:pPr>
        <w:pStyle w:val="ListParagraph"/>
        <w:ind w:left="1440"/>
      </w:pPr>
    </w:p>
    <w:p w14:paraId="47D63559" w14:textId="1F2B5BAE" w:rsidR="000825A5" w:rsidRPr="00B16F8D" w:rsidRDefault="000825A5" w:rsidP="000825A5">
      <w:pPr>
        <w:pStyle w:val="ListParagraph"/>
        <w:numPr>
          <w:ilvl w:val="0"/>
          <w:numId w:val="16"/>
        </w:numPr>
        <w:ind w:left="567" w:hanging="567"/>
      </w:pPr>
      <w:r>
        <w:t>impact on compliance and enforcement activities</w:t>
      </w:r>
    </w:p>
    <w:p w14:paraId="40082340" w14:textId="4876956A" w:rsidR="000825A5" w:rsidRDefault="000825A5" w:rsidP="00BD1B68">
      <w:pPr>
        <w:pStyle w:val="FSDash"/>
        <w:rPr>
          <w:lang w:val="en-NZ"/>
        </w:rPr>
      </w:pPr>
      <w:r>
        <w:rPr>
          <w:lang w:val="en-NZ"/>
        </w:rPr>
        <w:t xml:space="preserve">harder to check compliance of foods with </w:t>
      </w:r>
      <w:r w:rsidR="009236A9">
        <w:rPr>
          <w:lang w:val="en-NZ"/>
        </w:rPr>
        <w:t xml:space="preserve">voluntary labelling </w:t>
      </w:r>
      <w:r>
        <w:rPr>
          <w:lang w:val="en-NZ"/>
        </w:rPr>
        <w:t>programmes (</w:t>
      </w:r>
      <w:r w:rsidR="009236A9">
        <w:rPr>
          <w:lang w:val="en-NZ"/>
        </w:rPr>
        <w:t xml:space="preserve">e.g. </w:t>
      </w:r>
      <w:r>
        <w:rPr>
          <w:lang w:val="en-NZ"/>
        </w:rPr>
        <w:t>Healthy Kids Association school canteen programme, Heart Foundation Pick-the-Tick, GI symbol programme)</w:t>
      </w:r>
    </w:p>
    <w:p w14:paraId="6A2F36AC" w14:textId="0E2664CE" w:rsidR="003D1226" w:rsidRPr="003D1226" w:rsidRDefault="003D1226" w:rsidP="003D1226">
      <w:pPr>
        <w:pStyle w:val="FSDash"/>
        <w:rPr>
          <w:lang w:val="en-NZ"/>
        </w:rPr>
      </w:pPr>
      <w:r>
        <w:rPr>
          <w:lang w:val="en-NZ"/>
        </w:rPr>
        <w:t>harder to check compliance with national and/or state government canteen and health service food and drink policy/guidelines.</w:t>
      </w:r>
    </w:p>
    <w:p w14:paraId="3E997097" w14:textId="77777777" w:rsidR="003D1226" w:rsidRDefault="000825A5" w:rsidP="00BD1B68">
      <w:pPr>
        <w:pStyle w:val="FSDash"/>
        <w:rPr>
          <w:lang w:val="en-NZ"/>
        </w:rPr>
      </w:pPr>
      <w:r>
        <w:rPr>
          <w:lang w:val="en-NZ"/>
        </w:rPr>
        <w:t xml:space="preserve">enforcement and monitoring of compliance with the Code </w:t>
      </w:r>
      <w:r w:rsidR="00AB10AB">
        <w:rPr>
          <w:lang w:val="en-NZ"/>
        </w:rPr>
        <w:t xml:space="preserve">would be made </w:t>
      </w:r>
      <w:r>
        <w:rPr>
          <w:lang w:val="en-NZ"/>
        </w:rPr>
        <w:t xml:space="preserve">more complex with greater variability in the NIP content and </w:t>
      </w:r>
      <w:r w:rsidR="00AB10AB">
        <w:rPr>
          <w:lang w:val="en-NZ"/>
        </w:rPr>
        <w:t xml:space="preserve">it would be </w:t>
      </w:r>
      <w:r w:rsidRPr="000825A5">
        <w:rPr>
          <w:lang w:val="en-NZ"/>
        </w:rPr>
        <w:t>harder to check compliance with requirements based on per serving amounts</w:t>
      </w:r>
    </w:p>
    <w:p w14:paraId="28F3410B" w14:textId="4FA9C233" w:rsidR="000825A5" w:rsidRDefault="003D1226" w:rsidP="00814182">
      <w:pPr>
        <w:pStyle w:val="FSDash"/>
      </w:pPr>
      <w:r>
        <w:t xml:space="preserve">affect checking compliance of the kilojoule menu disclosure legislation in New </w:t>
      </w:r>
      <w:r>
        <w:lastRenderedPageBreak/>
        <w:t>South Wales, Australian Capital Territory and South Australia</w:t>
      </w:r>
      <w:r w:rsidR="00814182">
        <w:rPr>
          <w:rStyle w:val="FootnoteReference"/>
        </w:rPr>
        <w:footnoteReference w:id="9"/>
      </w:r>
      <w:r w:rsidR="00640562">
        <w:t>.</w:t>
      </w:r>
    </w:p>
    <w:p w14:paraId="3C11F64B" w14:textId="77777777" w:rsidR="00814182" w:rsidRPr="00B16F8D" w:rsidRDefault="00814182" w:rsidP="00814182">
      <w:pPr>
        <w:pStyle w:val="FSDash"/>
        <w:numPr>
          <w:ilvl w:val="0"/>
          <w:numId w:val="0"/>
        </w:numPr>
        <w:ind w:left="1134"/>
      </w:pPr>
    </w:p>
    <w:p w14:paraId="096B4F50" w14:textId="4362A221" w:rsidR="00991A29" w:rsidRDefault="000825A5" w:rsidP="0031283F">
      <w:pPr>
        <w:rPr>
          <w:lang w:bidi="ar-SA"/>
        </w:rPr>
      </w:pPr>
      <w:r>
        <w:rPr>
          <w:lang w:bidi="ar-SA"/>
        </w:rPr>
        <w:t>While most submitters did not support Recommendation 17, some noted the following advantages with a voluntary approach for per serving information in the NIP:</w:t>
      </w:r>
    </w:p>
    <w:p w14:paraId="3A289ED8" w14:textId="77777777" w:rsidR="000825A5" w:rsidRDefault="000825A5" w:rsidP="0031283F">
      <w:pPr>
        <w:rPr>
          <w:lang w:bidi="ar-SA"/>
        </w:rPr>
      </w:pPr>
    </w:p>
    <w:p w14:paraId="7CF43E02" w14:textId="5E281C04" w:rsidR="000825A5" w:rsidRDefault="000825A5" w:rsidP="000825A5">
      <w:pPr>
        <w:pStyle w:val="ListParagraph"/>
        <w:numPr>
          <w:ilvl w:val="0"/>
          <w:numId w:val="16"/>
        </w:numPr>
        <w:ind w:left="567" w:hanging="567"/>
      </w:pPr>
      <w:r>
        <w:t>less information in the NIP could mean more label space, especially for small</w:t>
      </w:r>
      <w:r w:rsidR="00F509A7">
        <w:t>er</w:t>
      </w:r>
      <w:r>
        <w:t xml:space="preserve"> packages</w:t>
      </w:r>
    </w:p>
    <w:p w14:paraId="107D7230" w14:textId="38311B2D" w:rsidR="00BB7F87" w:rsidRDefault="00BB7F87" w:rsidP="00BB7F87">
      <w:pPr>
        <w:pStyle w:val="ListParagraph"/>
        <w:numPr>
          <w:ilvl w:val="0"/>
          <w:numId w:val="16"/>
        </w:numPr>
        <w:ind w:left="567" w:hanging="567"/>
      </w:pPr>
      <w:r>
        <w:t>may allow larger font size for other information</w:t>
      </w:r>
    </w:p>
    <w:p w14:paraId="670EFA88" w14:textId="51A3FB28" w:rsidR="000825A5" w:rsidRDefault="000825A5" w:rsidP="000825A5">
      <w:pPr>
        <w:pStyle w:val="ListParagraph"/>
        <w:numPr>
          <w:ilvl w:val="0"/>
          <w:numId w:val="16"/>
        </w:numPr>
        <w:ind w:left="567" w:hanging="567"/>
      </w:pPr>
      <w:r>
        <w:t>may reduce confusion for consumers</w:t>
      </w:r>
      <w:r w:rsidR="007D7E06">
        <w:t xml:space="preserve"> when using the NIP and</w:t>
      </w:r>
      <w:r>
        <w:t xml:space="preserve"> when comparing foods</w:t>
      </w:r>
    </w:p>
    <w:p w14:paraId="229B1BE4" w14:textId="469681FA" w:rsidR="00BB7F87" w:rsidRDefault="00BB7F87" w:rsidP="00BB7F87">
      <w:pPr>
        <w:pStyle w:val="ListParagraph"/>
        <w:numPr>
          <w:ilvl w:val="0"/>
          <w:numId w:val="16"/>
        </w:numPr>
        <w:ind w:left="567" w:hanging="567"/>
      </w:pPr>
      <w:r>
        <w:t>reinforce the importance of using per 100 g/</w:t>
      </w:r>
      <w:r w:rsidR="00B13342">
        <w:t xml:space="preserve">100 </w:t>
      </w:r>
      <w:r>
        <w:t>mL amounts when comparing foods</w:t>
      </w:r>
    </w:p>
    <w:p w14:paraId="6AD03F57" w14:textId="0F5EAA5B" w:rsidR="00BB7F87" w:rsidRDefault="00BB7F87" w:rsidP="00BB7F87">
      <w:pPr>
        <w:pStyle w:val="ListParagraph"/>
        <w:numPr>
          <w:ilvl w:val="0"/>
          <w:numId w:val="16"/>
        </w:numPr>
        <w:ind w:left="567" w:hanging="567"/>
      </w:pPr>
      <w:r>
        <w:t>Health Star Rating system together with per 100</w:t>
      </w:r>
      <w:r w:rsidR="00170AEA">
        <w:t xml:space="preserve"> </w:t>
      </w:r>
      <w:r>
        <w:t>g/</w:t>
      </w:r>
      <w:r w:rsidR="00B13342">
        <w:t xml:space="preserve">100 </w:t>
      </w:r>
      <w:r>
        <w:t>mL amounts would provide enough information for informed choice</w:t>
      </w:r>
    </w:p>
    <w:p w14:paraId="7EBDCB13" w14:textId="156025ED" w:rsidR="00BB7F87" w:rsidRDefault="00BB7F87" w:rsidP="00BB7F87">
      <w:pPr>
        <w:pStyle w:val="ListParagraph"/>
        <w:numPr>
          <w:ilvl w:val="0"/>
          <w:numId w:val="16"/>
        </w:numPr>
        <w:ind w:left="567" w:hanging="567"/>
      </w:pPr>
      <w:r>
        <w:t xml:space="preserve">instead of per serving amounts, </w:t>
      </w:r>
      <w:r w:rsidR="00AB10AB">
        <w:t xml:space="preserve">the </w:t>
      </w:r>
      <w:r>
        <w:t>Health Star Rating system should be mandated</w:t>
      </w:r>
    </w:p>
    <w:p w14:paraId="7E8ACEBA" w14:textId="39D66311" w:rsidR="00BB7F87" w:rsidRDefault="00EF242E" w:rsidP="00BB7F87">
      <w:pPr>
        <w:pStyle w:val="ListParagraph"/>
        <w:numPr>
          <w:ilvl w:val="0"/>
          <w:numId w:val="16"/>
        </w:numPr>
        <w:ind w:left="567" w:hanging="567"/>
      </w:pPr>
      <w:r>
        <w:t>serving</w:t>
      </w:r>
      <w:r w:rsidR="00BB7F87">
        <w:t xml:space="preserve"> sizes are often unrealistic therefore per serving amounts </w:t>
      </w:r>
      <w:r w:rsidR="00170AEA">
        <w:t xml:space="preserve">are </w:t>
      </w:r>
      <w:r w:rsidR="00BB7F87">
        <w:t>not useful</w:t>
      </w:r>
    </w:p>
    <w:p w14:paraId="77E01AB7" w14:textId="449BBBA7" w:rsidR="007D7E06" w:rsidRDefault="007D7E06" w:rsidP="000825A5">
      <w:pPr>
        <w:pStyle w:val="ListParagraph"/>
        <w:numPr>
          <w:ilvl w:val="0"/>
          <w:numId w:val="16"/>
        </w:numPr>
        <w:ind w:left="567" w:hanging="567"/>
      </w:pPr>
      <w:r>
        <w:t xml:space="preserve">increased flexibility for industry particularly when per serving amounts are not useful, e.g. </w:t>
      </w:r>
      <w:r w:rsidR="00170AEA">
        <w:t xml:space="preserve">for foods that are used as </w:t>
      </w:r>
      <w:r>
        <w:t>ingredients in recipes, although even if voluntary per serving likely to be used in most cases</w:t>
      </w:r>
    </w:p>
    <w:p w14:paraId="70FBB7CC" w14:textId="6A868B45" w:rsidR="00BB7F87" w:rsidRDefault="00BB7F87" w:rsidP="000825A5">
      <w:pPr>
        <w:pStyle w:val="ListParagraph"/>
        <w:numPr>
          <w:ilvl w:val="0"/>
          <w:numId w:val="16"/>
        </w:numPr>
        <w:ind w:left="567" w:hanging="567"/>
      </w:pPr>
      <w:r>
        <w:t>sensible option when serving is 100</w:t>
      </w:r>
      <w:r w:rsidR="00170AEA">
        <w:t xml:space="preserve"> </w:t>
      </w:r>
      <w:r>
        <w:t>g/</w:t>
      </w:r>
      <w:r w:rsidR="00B13342">
        <w:t xml:space="preserve">100 </w:t>
      </w:r>
      <w:r>
        <w:t>mL so column is not repeated</w:t>
      </w:r>
    </w:p>
    <w:p w14:paraId="2A475089" w14:textId="403EA676" w:rsidR="00FD4A1A" w:rsidRDefault="00BB7F87" w:rsidP="00FD4A1A">
      <w:pPr>
        <w:pStyle w:val="ListParagraph"/>
        <w:numPr>
          <w:ilvl w:val="0"/>
          <w:numId w:val="16"/>
        </w:numPr>
        <w:ind w:left="567" w:hanging="567"/>
      </w:pPr>
      <w:r>
        <w:t>m</w:t>
      </w:r>
      <w:r w:rsidR="007D7E06">
        <w:t>ay help to align labelling requirements in other markets and facilitate trade</w:t>
      </w:r>
      <w:r w:rsidR="0063719D">
        <w:t>.</w:t>
      </w:r>
      <w:r w:rsidR="00FD4A1A">
        <w:t xml:space="preserve"> </w:t>
      </w:r>
    </w:p>
    <w:p w14:paraId="10A7E1EE" w14:textId="0CE95943" w:rsidR="00FD4A1A" w:rsidRDefault="00FD4A1A" w:rsidP="00FD4A1A">
      <w:pPr>
        <w:pStyle w:val="Heading3"/>
      </w:pPr>
      <w:r>
        <w:t>3.4.4</w:t>
      </w:r>
      <w:r>
        <w:tab/>
        <w:t>Technical issues associated with Recommendation 17</w:t>
      </w:r>
    </w:p>
    <w:p w14:paraId="53282788" w14:textId="352C997E" w:rsidR="00D74448" w:rsidRDefault="00191CB1" w:rsidP="00D74448">
      <w:pPr>
        <w:rPr>
          <w:lang w:bidi="ar-SA"/>
        </w:rPr>
      </w:pPr>
      <w:r>
        <w:rPr>
          <w:lang w:bidi="ar-SA"/>
        </w:rPr>
        <w:t xml:space="preserve">Given the </w:t>
      </w:r>
      <w:r w:rsidR="00D74448">
        <w:rPr>
          <w:lang w:bidi="ar-SA"/>
        </w:rPr>
        <w:t>strong submitter op</w:t>
      </w:r>
      <w:r w:rsidR="00D33323">
        <w:rPr>
          <w:lang w:bidi="ar-SA"/>
        </w:rPr>
        <w:t>position to Recommendation</w:t>
      </w:r>
      <w:r>
        <w:rPr>
          <w:lang w:bidi="ar-SA"/>
        </w:rPr>
        <w:t xml:space="preserve"> 17</w:t>
      </w:r>
      <w:r w:rsidR="00F509A7">
        <w:rPr>
          <w:lang w:bidi="ar-SA"/>
        </w:rPr>
        <w:t>,</w:t>
      </w:r>
      <w:r w:rsidR="00D33323">
        <w:rPr>
          <w:lang w:bidi="ar-SA"/>
        </w:rPr>
        <w:t xml:space="preserve"> </w:t>
      </w:r>
      <w:r w:rsidR="00AC714D">
        <w:rPr>
          <w:lang w:bidi="ar-SA"/>
        </w:rPr>
        <w:t xml:space="preserve">only </w:t>
      </w:r>
      <w:r w:rsidR="00D74448">
        <w:rPr>
          <w:lang w:bidi="ar-SA"/>
        </w:rPr>
        <w:t xml:space="preserve">an overview of technical issues associated with </w:t>
      </w:r>
      <w:r>
        <w:rPr>
          <w:lang w:bidi="ar-SA"/>
        </w:rPr>
        <w:t xml:space="preserve">the </w:t>
      </w:r>
      <w:r w:rsidR="00AB10AB">
        <w:rPr>
          <w:lang w:bidi="ar-SA"/>
        </w:rPr>
        <w:t>r</w:t>
      </w:r>
      <w:r>
        <w:rPr>
          <w:lang w:bidi="ar-SA"/>
        </w:rPr>
        <w:t>ecommendation</w:t>
      </w:r>
      <w:r w:rsidR="00D74448">
        <w:rPr>
          <w:lang w:bidi="ar-SA"/>
        </w:rPr>
        <w:t xml:space="preserve"> is presented.</w:t>
      </w:r>
    </w:p>
    <w:p w14:paraId="4C5F8B97" w14:textId="77777777" w:rsidR="00D74448" w:rsidRDefault="00D74448" w:rsidP="00D74448">
      <w:pPr>
        <w:rPr>
          <w:lang w:bidi="ar-SA"/>
        </w:rPr>
      </w:pPr>
    </w:p>
    <w:p w14:paraId="63528BB7" w14:textId="2CD9A577" w:rsidR="00D74448" w:rsidRDefault="00D74448" w:rsidP="00D74448">
      <w:pPr>
        <w:rPr>
          <w:lang w:bidi="ar-SA"/>
        </w:rPr>
      </w:pPr>
      <w:r>
        <w:rPr>
          <w:lang w:bidi="ar-SA"/>
        </w:rPr>
        <w:t>Should Recommendation 17 be implemented</w:t>
      </w:r>
      <w:r w:rsidR="00F509A7">
        <w:rPr>
          <w:lang w:bidi="ar-SA"/>
        </w:rPr>
        <w:t>,</w:t>
      </w:r>
      <w:r>
        <w:rPr>
          <w:lang w:bidi="ar-SA"/>
        </w:rPr>
        <w:t xml:space="preserve"> a number of </w:t>
      </w:r>
      <w:r w:rsidR="00D33323">
        <w:rPr>
          <w:lang w:bidi="ar-SA"/>
        </w:rPr>
        <w:t xml:space="preserve">technical and regulatory </w:t>
      </w:r>
      <w:r>
        <w:rPr>
          <w:lang w:bidi="ar-SA"/>
        </w:rPr>
        <w:t>issues would need to be considered as follows:</w:t>
      </w:r>
    </w:p>
    <w:p w14:paraId="19A8919F" w14:textId="77777777" w:rsidR="00D74448" w:rsidRDefault="00D74448" w:rsidP="00D74448">
      <w:pPr>
        <w:rPr>
          <w:lang w:bidi="ar-SA"/>
        </w:rPr>
      </w:pPr>
    </w:p>
    <w:p w14:paraId="687692AA" w14:textId="583870FB" w:rsidR="00D74448" w:rsidRDefault="00AC714D" w:rsidP="00D74448">
      <w:pPr>
        <w:pStyle w:val="ListParagraph"/>
        <w:numPr>
          <w:ilvl w:val="0"/>
          <w:numId w:val="17"/>
        </w:numPr>
        <w:ind w:left="567" w:hanging="567"/>
      </w:pPr>
      <w:r>
        <w:t xml:space="preserve">requirements for </w:t>
      </w:r>
      <w:r w:rsidR="00D74448">
        <w:t>per serving information in the NIP when a daily intake claim is made (%DI or %RDI) as referred to in Recommendation 17 itself</w:t>
      </w:r>
    </w:p>
    <w:p w14:paraId="41F37F17" w14:textId="5504FEA5" w:rsidR="00D74448" w:rsidRDefault="00AC714D" w:rsidP="00D74448">
      <w:pPr>
        <w:pStyle w:val="ListParagraph"/>
        <w:numPr>
          <w:ilvl w:val="0"/>
          <w:numId w:val="17"/>
        </w:numPr>
        <w:ind w:left="567" w:hanging="567"/>
      </w:pPr>
      <w:r>
        <w:t>requirements for</w:t>
      </w:r>
      <w:r w:rsidR="00D74448">
        <w:t xml:space="preserve"> per serving information in the NIP when a nutrition content claim </w:t>
      </w:r>
      <w:r w:rsidR="004B38B2">
        <w:t xml:space="preserve">is made </w:t>
      </w:r>
      <w:r w:rsidR="00D74448">
        <w:t>about vitamins, minerals, protein, omega-3 fatty acids or dietary fibre</w:t>
      </w:r>
      <w:r w:rsidR="00F331F9">
        <w:t>, including comparative claims</w:t>
      </w:r>
      <w:r w:rsidR="00C34B59">
        <w:t>,</w:t>
      </w:r>
      <w:r w:rsidR="00F509A7">
        <w:t xml:space="preserve"> as claim conditions are based</w:t>
      </w:r>
      <w:r w:rsidR="00424BF5">
        <w:t xml:space="preserve"> on per serving</w:t>
      </w:r>
    </w:p>
    <w:p w14:paraId="7282E407" w14:textId="0349AC59" w:rsidR="00D74448" w:rsidRDefault="00424BF5" w:rsidP="00D74448">
      <w:pPr>
        <w:pStyle w:val="ListParagraph"/>
        <w:numPr>
          <w:ilvl w:val="0"/>
          <w:numId w:val="17"/>
        </w:numPr>
        <w:ind w:left="567" w:hanging="567"/>
      </w:pPr>
      <w:r>
        <w:t>a</w:t>
      </w:r>
      <w:r w:rsidR="00D74448">
        <w:t>ny</w:t>
      </w:r>
      <w:r w:rsidR="00F509A7">
        <w:t xml:space="preserve"> other</w:t>
      </w:r>
      <w:r w:rsidR="00D74448">
        <w:t xml:space="preserve"> impact on standards in the Code such as Standard 1.2.8, Standard 1.2.7 – Nutrition, Health and Related Claims, Standard 1.3.2 – Vitamins and Minerals and </w:t>
      </w:r>
      <w:r w:rsidR="00D74448" w:rsidRPr="00A5032E">
        <w:t>Standard 2.6.4 –</w:t>
      </w:r>
      <w:r w:rsidR="00A5032E">
        <w:t xml:space="preserve"> Formulated Caffeinated Beverages</w:t>
      </w:r>
      <w:r w:rsidR="00D74448">
        <w:t xml:space="preserve"> </w:t>
      </w:r>
    </w:p>
    <w:p w14:paraId="00A90506" w14:textId="383AB291" w:rsidR="00D74448" w:rsidRDefault="006435AC" w:rsidP="00D74448">
      <w:pPr>
        <w:pStyle w:val="ListParagraph"/>
        <w:numPr>
          <w:ilvl w:val="0"/>
          <w:numId w:val="17"/>
        </w:numPr>
        <w:ind w:left="567" w:hanging="567"/>
      </w:pPr>
      <w:r>
        <w:t>the possibility that the amounts of energy, saturated fat, sugars and sodium are presented per pack (i.e. per serving) or per industry agreed serving size as part of the Health Star Rating system but not provided per serving in the NIP</w:t>
      </w:r>
    </w:p>
    <w:p w14:paraId="252962A4" w14:textId="303A11D5" w:rsidR="00A5032E" w:rsidRDefault="00A5032E" w:rsidP="00D74448">
      <w:pPr>
        <w:pStyle w:val="ListParagraph"/>
        <w:numPr>
          <w:ilvl w:val="0"/>
          <w:numId w:val="17"/>
        </w:numPr>
        <w:ind w:left="567" w:hanging="567"/>
      </w:pPr>
      <w:r>
        <w:t>m</w:t>
      </w:r>
      <w:r w:rsidR="00F331F9">
        <w:t xml:space="preserve">andating </w:t>
      </w:r>
      <w:r>
        <w:t xml:space="preserve">per serving information in the NIP for Special Purpose Foods, i.e. foods regulated in Standard 2.9.3 – Formulated Meal Replacements and Formulated Supplementary Foods and Standard 2.9.4 – Formulated Supplementary Sports Foods, as it useful for consumers, dietitians and enforcement </w:t>
      </w:r>
      <w:r w:rsidR="00AE6833">
        <w:t xml:space="preserve">agencies </w:t>
      </w:r>
      <w:r>
        <w:t>to be able to easily identify nutrients per serving</w:t>
      </w:r>
    </w:p>
    <w:p w14:paraId="35F09539" w14:textId="02A5E747" w:rsidR="00F331F9" w:rsidRDefault="00AC714D" w:rsidP="00D74448">
      <w:pPr>
        <w:pStyle w:val="ListParagraph"/>
        <w:numPr>
          <w:ilvl w:val="0"/>
          <w:numId w:val="17"/>
        </w:numPr>
        <w:ind w:left="567" w:hanging="567"/>
      </w:pPr>
      <w:r>
        <w:t>requirements for</w:t>
      </w:r>
      <w:r w:rsidR="00F331F9">
        <w:t xml:space="preserve"> per serving information in the NIP for foods sold as a single serving</w:t>
      </w:r>
      <w:r w:rsidR="00FF6838">
        <w:t xml:space="preserve"> and for unitised foods (i.e. foods with discrete units such as biscuits, sliced bread)</w:t>
      </w:r>
    </w:p>
    <w:p w14:paraId="2E28F547" w14:textId="3E293997" w:rsidR="00FD61CD" w:rsidRDefault="00FD61CD" w:rsidP="00D74448">
      <w:pPr>
        <w:pStyle w:val="ListParagraph"/>
        <w:numPr>
          <w:ilvl w:val="0"/>
          <w:numId w:val="17"/>
        </w:numPr>
        <w:ind w:left="567" w:hanging="567"/>
      </w:pPr>
      <w:r>
        <w:t>impact on the operation of Australian state guidelines for food sold in school canteens</w:t>
      </w:r>
      <w:r w:rsidR="00A5032E">
        <w:t xml:space="preserve"> (Healthy Kids Association programme in Australia)</w:t>
      </w:r>
    </w:p>
    <w:p w14:paraId="275C355E" w14:textId="2D1CFBDF" w:rsidR="00FD4A1A" w:rsidRDefault="00FF6838" w:rsidP="00FD4A1A">
      <w:pPr>
        <w:pStyle w:val="ListParagraph"/>
        <w:numPr>
          <w:ilvl w:val="0"/>
          <w:numId w:val="17"/>
        </w:numPr>
        <w:ind w:left="567" w:hanging="567"/>
      </w:pPr>
      <w:r>
        <w:lastRenderedPageBreak/>
        <w:t>impact on the requirement in New South Wales, Australian Capital Territory and South Australia for quick-service restaurants to display information about the energy content per item.</w:t>
      </w:r>
    </w:p>
    <w:p w14:paraId="1B1E352C" w14:textId="77777777" w:rsidR="006D08B8" w:rsidRDefault="006D08B8" w:rsidP="006D08B8"/>
    <w:p w14:paraId="0A2961C1" w14:textId="4A9E7B75" w:rsidR="006D08B8" w:rsidRDefault="006D08B8" w:rsidP="006D08B8">
      <w:r>
        <w:t>Of the submitters who commented on situations where inclusion of per serving information in the NIP should be mandatory if Recommendation 17 was implemented, the majority supported</w:t>
      </w:r>
      <w:r w:rsidR="00C34B59">
        <w:t xml:space="preserve"> mandating per serving information in the NIP when a daily intake claim is made and when nutrition content claims, with conditions based on per serving, are made.</w:t>
      </w:r>
    </w:p>
    <w:p w14:paraId="4899A35C" w14:textId="5A593C25" w:rsidR="00E63F1A" w:rsidRDefault="00FD4A1A" w:rsidP="00ED6A25">
      <w:pPr>
        <w:pStyle w:val="Heading3"/>
      </w:pPr>
      <w:r>
        <w:t>3.4.5</w:t>
      </w:r>
      <w:r w:rsidR="0063719D">
        <w:tab/>
        <w:t xml:space="preserve">Submitter suggestions for </w:t>
      </w:r>
      <w:r w:rsidR="00476C7C">
        <w:t xml:space="preserve">possible future </w:t>
      </w:r>
      <w:r w:rsidR="0063719D">
        <w:t>consideration of nutrition labelling</w:t>
      </w:r>
    </w:p>
    <w:p w14:paraId="6EED81D2" w14:textId="1E8E612A" w:rsidR="00E63F1A" w:rsidRDefault="00E63F1A" w:rsidP="0063719D">
      <w:pPr>
        <w:rPr>
          <w:lang w:eastAsia="en-AU" w:bidi="ar-SA"/>
        </w:rPr>
      </w:pPr>
      <w:r>
        <w:rPr>
          <w:lang w:eastAsia="en-AU" w:bidi="ar-SA"/>
        </w:rPr>
        <w:t xml:space="preserve">While </w:t>
      </w:r>
      <w:r w:rsidR="00FA5E89">
        <w:rPr>
          <w:lang w:eastAsia="en-AU" w:bidi="ar-SA"/>
        </w:rPr>
        <w:t xml:space="preserve">most </w:t>
      </w:r>
      <w:r>
        <w:rPr>
          <w:lang w:eastAsia="en-AU" w:bidi="ar-SA"/>
        </w:rPr>
        <w:t xml:space="preserve">submitters did not support Recommendation 17, some suggested that aspects of nutrition labelling requirements could be improved </w:t>
      </w:r>
      <w:r w:rsidR="001D561E">
        <w:rPr>
          <w:lang w:eastAsia="en-AU" w:bidi="ar-SA"/>
        </w:rPr>
        <w:t xml:space="preserve">and that there should be a </w:t>
      </w:r>
      <w:r>
        <w:rPr>
          <w:lang w:eastAsia="en-AU" w:bidi="ar-SA"/>
        </w:rPr>
        <w:t xml:space="preserve">policy review of nutrition labelling. Submitters suggested that such a review should be undertaken in the context of the recently launched voluntary Health Star Rating system and could include consideration of the drivers for </w:t>
      </w:r>
      <w:r w:rsidR="001D561E">
        <w:rPr>
          <w:lang w:eastAsia="en-AU" w:bidi="ar-SA"/>
        </w:rPr>
        <w:t xml:space="preserve">the determination of </w:t>
      </w:r>
      <w:r>
        <w:rPr>
          <w:lang w:eastAsia="en-AU" w:bidi="ar-SA"/>
        </w:rPr>
        <w:t>serving size and the use of the NIP across different food categories such as foods used in food service, as ingredients and ready-to-eat foods.</w:t>
      </w:r>
    </w:p>
    <w:p w14:paraId="3C86E292" w14:textId="14BD2CD8" w:rsidR="005A2FD4" w:rsidRDefault="005A2FD4" w:rsidP="0063719D">
      <w:pPr>
        <w:rPr>
          <w:lang w:eastAsia="en-AU" w:bidi="ar-SA"/>
        </w:rPr>
      </w:pPr>
    </w:p>
    <w:p w14:paraId="40301E49" w14:textId="15423467" w:rsidR="005A2FD4" w:rsidRDefault="005A2FD4" w:rsidP="0063719D">
      <w:pPr>
        <w:rPr>
          <w:lang w:eastAsia="en-AU" w:bidi="ar-SA"/>
        </w:rPr>
      </w:pPr>
      <w:r>
        <w:rPr>
          <w:lang w:eastAsia="en-AU" w:bidi="ar-SA"/>
        </w:rPr>
        <w:t xml:space="preserve">Many submitters stated that the lack of standardised serving sizes is a more significant issue than the per serving column in the NIP per se. </w:t>
      </w:r>
      <w:r w:rsidR="00432428">
        <w:rPr>
          <w:lang w:eastAsia="en-AU" w:bidi="ar-SA"/>
        </w:rPr>
        <w:t xml:space="preserve">It was noted that </w:t>
      </w:r>
      <w:r w:rsidR="001B62A8">
        <w:rPr>
          <w:lang w:eastAsia="en-AU" w:bidi="ar-SA"/>
        </w:rPr>
        <w:t>often</w:t>
      </w:r>
      <w:r w:rsidR="00432428">
        <w:rPr>
          <w:lang w:eastAsia="en-AU" w:bidi="ar-SA"/>
        </w:rPr>
        <w:t xml:space="preserve"> serving sizes of foods within a food category </w:t>
      </w:r>
      <w:r w:rsidR="00FD4A1A">
        <w:rPr>
          <w:lang w:eastAsia="en-AU" w:bidi="ar-SA"/>
        </w:rPr>
        <w:t>are inconsistent</w:t>
      </w:r>
      <w:r w:rsidR="00AB10AB">
        <w:rPr>
          <w:lang w:eastAsia="en-AU" w:bidi="ar-SA"/>
        </w:rPr>
        <w:t xml:space="preserve"> and</w:t>
      </w:r>
      <w:r w:rsidR="00FD4A1A">
        <w:rPr>
          <w:lang w:eastAsia="en-AU" w:bidi="ar-SA"/>
        </w:rPr>
        <w:t xml:space="preserve"> do not relate</w:t>
      </w:r>
      <w:r w:rsidR="00432428">
        <w:rPr>
          <w:lang w:eastAsia="en-AU" w:bidi="ar-SA"/>
        </w:rPr>
        <w:t xml:space="preserve"> to amounts commonly consumed</w:t>
      </w:r>
      <w:r w:rsidR="00AB10AB">
        <w:rPr>
          <w:lang w:eastAsia="en-AU" w:bidi="ar-SA"/>
        </w:rPr>
        <w:t>,</w:t>
      </w:r>
      <w:r w:rsidR="00432428">
        <w:rPr>
          <w:lang w:eastAsia="en-AU" w:bidi="ar-SA"/>
        </w:rPr>
        <w:t xml:space="preserve"> and that serving sizes on </w:t>
      </w:r>
      <w:r w:rsidR="00FD4A1A">
        <w:rPr>
          <w:lang w:eastAsia="en-AU" w:bidi="ar-SA"/>
        </w:rPr>
        <w:t>different sized packages</w:t>
      </w:r>
      <w:r w:rsidR="00432428">
        <w:rPr>
          <w:lang w:eastAsia="en-AU" w:bidi="ar-SA"/>
        </w:rPr>
        <w:t xml:space="preserve"> of the same food can vary. </w:t>
      </w:r>
      <w:r>
        <w:rPr>
          <w:lang w:eastAsia="en-AU" w:bidi="ar-SA"/>
        </w:rPr>
        <w:t>Comments were made that serving sizes on food labels should be standardised to support the Australian Dietary Guidelines and the Australian Guide to Healthy Eating.</w:t>
      </w:r>
      <w:r w:rsidR="00432428">
        <w:rPr>
          <w:lang w:eastAsia="en-AU" w:bidi="ar-SA"/>
        </w:rPr>
        <w:t xml:space="preserve"> Other submitters noted that standardised serving sizes can be misleading as food can be used in different ways</w:t>
      </w:r>
      <w:r w:rsidR="00AB10AB">
        <w:rPr>
          <w:lang w:eastAsia="en-AU" w:bidi="ar-SA"/>
        </w:rPr>
        <w:t>,</w:t>
      </w:r>
      <w:r w:rsidR="00432428">
        <w:rPr>
          <w:lang w:eastAsia="en-AU" w:bidi="ar-SA"/>
        </w:rPr>
        <w:t xml:space="preserve"> and that it can cause difficulties when food package sizes cannot be easily altered. Nonetheless, standardising</w:t>
      </w:r>
      <w:r w:rsidR="00FD4A1A">
        <w:rPr>
          <w:lang w:eastAsia="en-AU" w:bidi="ar-SA"/>
        </w:rPr>
        <w:t xml:space="preserve"> serving sizes is</w:t>
      </w:r>
      <w:r w:rsidR="00432428">
        <w:rPr>
          <w:lang w:eastAsia="en-AU" w:bidi="ar-SA"/>
        </w:rPr>
        <w:t xml:space="preserve"> an important issue for many submitters.</w:t>
      </w:r>
    </w:p>
    <w:p w14:paraId="4138DE53" w14:textId="77777777" w:rsidR="00432428" w:rsidRDefault="00432428" w:rsidP="0063719D">
      <w:pPr>
        <w:rPr>
          <w:lang w:eastAsia="en-AU" w:bidi="ar-SA"/>
        </w:rPr>
      </w:pPr>
    </w:p>
    <w:p w14:paraId="0F61AE53" w14:textId="3F9E82F7" w:rsidR="00432428" w:rsidRDefault="00432428" w:rsidP="0063719D">
      <w:pPr>
        <w:rPr>
          <w:lang w:eastAsia="en-AU" w:bidi="ar-SA"/>
        </w:rPr>
      </w:pPr>
      <w:r>
        <w:rPr>
          <w:lang w:eastAsia="en-AU" w:bidi="ar-SA"/>
        </w:rPr>
        <w:t xml:space="preserve">It was also noted that no decision about nutrition labelling should be made without consumer research. Such research could include the value of per serving information to consumers, consumer use and understanding of per serving information, how per serving information influences consumer decision making about portion size, </w:t>
      </w:r>
      <w:r w:rsidR="004B38B2">
        <w:rPr>
          <w:lang w:eastAsia="en-AU" w:bidi="ar-SA"/>
        </w:rPr>
        <w:t>and</w:t>
      </w:r>
      <w:r>
        <w:rPr>
          <w:lang w:eastAsia="en-AU" w:bidi="ar-SA"/>
        </w:rPr>
        <w:t xml:space="preserve"> the use of standardised and non-standardised serving sizes.</w:t>
      </w:r>
    </w:p>
    <w:p w14:paraId="42BEEF09" w14:textId="287EAACB" w:rsidR="005A2FD4" w:rsidRDefault="005A2FD4" w:rsidP="0063719D">
      <w:pPr>
        <w:rPr>
          <w:lang w:eastAsia="en-AU" w:bidi="ar-SA"/>
        </w:rPr>
      </w:pPr>
    </w:p>
    <w:p w14:paraId="1945D97D" w14:textId="2F59DA67" w:rsidR="000D1E2E" w:rsidRDefault="005A2FD4" w:rsidP="00FD4A1A">
      <w:pPr>
        <w:rPr>
          <w:rFonts w:cs="Arial"/>
          <w:szCs w:val="22"/>
          <w:lang w:val="en-AU" w:eastAsia="en-AU"/>
        </w:rPr>
      </w:pPr>
      <w:r w:rsidRPr="005A2FD4">
        <w:rPr>
          <w:lang w:val="en-AU" w:eastAsia="en-AU"/>
        </w:rPr>
        <w:t xml:space="preserve">In early 2015, </w:t>
      </w:r>
      <w:r w:rsidR="001B62A8">
        <w:rPr>
          <w:lang w:val="en-AU" w:eastAsia="en-AU"/>
        </w:rPr>
        <w:t>to support work on</w:t>
      </w:r>
      <w:r w:rsidR="00FA5E89">
        <w:rPr>
          <w:lang w:val="en-AU" w:eastAsia="en-AU"/>
        </w:rPr>
        <w:t xml:space="preserve"> the</w:t>
      </w:r>
      <w:r w:rsidR="001B62A8">
        <w:rPr>
          <w:lang w:val="en-AU" w:eastAsia="en-AU"/>
        </w:rPr>
        <w:t xml:space="preserve"> </w:t>
      </w:r>
      <w:r w:rsidR="0041461C">
        <w:rPr>
          <w:lang w:val="en-AU" w:eastAsia="en-AU"/>
        </w:rPr>
        <w:t>L</w:t>
      </w:r>
      <w:r w:rsidR="001B62A8">
        <w:rPr>
          <w:lang w:val="en-AU" w:eastAsia="en-AU"/>
        </w:rPr>
        <w:t xml:space="preserve">abelling </w:t>
      </w:r>
      <w:r w:rsidR="0041461C">
        <w:rPr>
          <w:lang w:val="en-AU" w:eastAsia="en-AU"/>
        </w:rPr>
        <w:t>R</w:t>
      </w:r>
      <w:r w:rsidR="001B62A8">
        <w:rPr>
          <w:lang w:val="en-AU" w:eastAsia="en-AU"/>
        </w:rPr>
        <w:t xml:space="preserve">eview recommendations, </w:t>
      </w:r>
      <w:r w:rsidRPr="005A2FD4">
        <w:rPr>
          <w:lang w:val="en-AU" w:eastAsia="en-AU"/>
        </w:rPr>
        <w:t xml:space="preserve">FSANZ commissioned an online survey of </w:t>
      </w:r>
      <w:r w:rsidRPr="005A2FD4">
        <w:rPr>
          <w:rFonts w:cs="Arial"/>
          <w:szCs w:val="22"/>
          <w:lang w:val="en-AU" w:eastAsia="en-AU"/>
        </w:rPr>
        <w:t xml:space="preserve">consumers </w:t>
      </w:r>
      <w:r w:rsidR="0041461C" w:rsidRPr="005A2FD4">
        <w:rPr>
          <w:rFonts w:cs="Arial"/>
          <w:szCs w:val="22"/>
          <w:lang w:val="en-AU" w:eastAsia="en-AU"/>
        </w:rPr>
        <w:t xml:space="preserve">across Australia and New Zealand </w:t>
      </w:r>
      <w:r w:rsidRPr="005A2FD4">
        <w:rPr>
          <w:rFonts w:cs="Arial"/>
          <w:szCs w:val="22"/>
          <w:lang w:val="en-AU" w:eastAsia="en-AU"/>
        </w:rPr>
        <w:t xml:space="preserve">on food label use and understanding. The survey is designed to </w:t>
      </w:r>
      <w:r w:rsidRPr="005A2FD4">
        <w:t>develop estimates of consumers' awareness, attitudes, understanding of, and self-reported behaviours relating to, a subset of mandatory labelling elements on foods.</w:t>
      </w:r>
      <w:r w:rsidRPr="005A2FD4">
        <w:rPr>
          <w:rFonts w:cs="Arial"/>
          <w:szCs w:val="22"/>
          <w:lang w:val="en-AU" w:eastAsia="en-AU"/>
        </w:rPr>
        <w:t xml:space="preserve"> Questions on consumer use and understanding of per serving </w:t>
      </w:r>
      <w:r w:rsidR="001B62A8">
        <w:rPr>
          <w:rFonts w:cs="Arial"/>
          <w:szCs w:val="22"/>
          <w:lang w:val="en-AU" w:eastAsia="en-AU"/>
        </w:rPr>
        <w:t xml:space="preserve">information in the NIP are </w:t>
      </w:r>
      <w:r w:rsidRPr="005A2FD4">
        <w:rPr>
          <w:rFonts w:cs="Arial"/>
          <w:szCs w:val="22"/>
          <w:lang w:val="en-AU" w:eastAsia="en-AU"/>
        </w:rPr>
        <w:t xml:space="preserve">included. </w:t>
      </w:r>
      <w:r w:rsidR="00EB1DF6">
        <w:rPr>
          <w:rFonts w:cs="Arial"/>
          <w:szCs w:val="22"/>
          <w:lang w:val="en-AU" w:eastAsia="en-AU"/>
        </w:rPr>
        <w:t>T</w:t>
      </w:r>
      <w:r w:rsidR="00432428">
        <w:rPr>
          <w:rFonts w:cs="Arial"/>
          <w:szCs w:val="22"/>
          <w:lang w:val="en-AU" w:eastAsia="en-AU"/>
        </w:rPr>
        <w:t xml:space="preserve">he research </w:t>
      </w:r>
      <w:r w:rsidR="00EB1DF6">
        <w:rPr>
          <w:rFonts w:cs="Arial"/>
          <w:szCs w:val="22"/>
          <w:lang w:val="en-AU" w:eastAsia="en-AU"/>
        </w:rPr>
        <w:t xml:space="preserve">findings </w:t>
      </w:r>
      <w:r w:rsidR="00432428">
        <w:rPr>
          <w:rFonts w:cs="Arial"/>
          <w:szCs w:val="22"/>
          <w:lang w:val="en-AU" w:eastAsia="en-AU"/>
        </w:rPr>
        <w:t>are ex</w:t>
      </w:r>
      <w:r w:rsidR="00A83D3B">
        <w:rPr>
          <w:rFonts w:cs="Arial"/>
          <w:szCs w:val="22"/>
          <w:lang w:val="en-AU" w:eastAsia="en-AU"/>
        </w:rPr>
        <w:t>pected to be available late 2016</w:t>
      </w:r>
      <w:r w:rsidR="00432428">
        <w:rPr>
          <w:rFonts w:cs="Arial"/>
          <w:szCs w:val="22"/>
          <w:lang w:val="en-AU" w:eastAsia="en-AU"/>
        </w:rPr>
        <w:t xml:space="preserve">. </w:t>
      </w:r>
      <w:r w:rsidR="00EB1DF6">
        <w:rPr>
          <w:rFonts w:cs="Arial"/>
          <w:szCs w:val="22"/>
          <w:lang w:val="en-AU" w:eastAsia="en-AU"/>
        </w:rPr>
        <w:t>T</w:t>
      </w:r>
      <w:r w:rsidRPr="005A2FD4">
        <w:rPr>
          <w:rFonts w:cs="Arial"/>
          <w:szCs w:val="22"/>
          <w:lang w:val="en-AU" w:eastAsia="en-AU"/>
        </w:rPr>
        <w:t>he</w:t>
      </w:r>
      <w:r w:rsidRPr="005A2FD4" w:rsidDel="00EB1DF6">
        <w:rPr>
          <w:rFonts w:cs="Arial"/>
          <w:szCs w:val="22"/>
          <w:lang w:val="en-AU" w:eastAsia="en-AU"/>
        </w:rPr>
        <w:t xml:space="preserve"> </w:t>
      </w:r>
      <w:r w:rsidRPr="005A2FD4">
        <w:rPr>
          <w:rFonts w:cs="Arial"/>
          <w:szCs w:val="22"/>
          <w:lang w:val="en-AU" w:eastAsia="en-AU"/>
        </w:rPr>
        <w:t xml:space="preserve">findings </w:t>
      </w:r>
      <w:r w:rsidR="001B62A8">
        <w:rPr>
          <w:rFonts w:cs="Arial"/>
          <w:szCs w:val="22"/>
          <w:lang w:val="en-AU" w:eastAsia="en-AU"/>
        </w:rPr>
        <w:t>will provide</w:t>
      </w:r>
      <w:r w:rsidR="00EB1DF6">
        <w:rPr>
          <w:rFonts w:cs="Arial"/>
          <w:szCs w:val="22"/>
          <w:lang w:val="en-AU" w:eastAsia="en-AU"/>
        </w:rPr>
        <w:t xml:space="preserve"> general</w:t>
      </w:r>
      <w:r w:rsidR="001B62A8">
        <w:rPr>
          <w:rFonts w:cs="Arial"/>
          <w:szCs w:val="22"/>
          <w:lang w:val="en-AU" w:eastAsia="en-AU"/>
        </w:rPr>
        <w:t xml:space="preserve"> information on </w:t>
      </w:r>
      <w:r w:rsidRPr="005A2FD4">
        <w:rPr>
          <w:rFonts w:cs="Arial"/>
          <w:szCs w:val="22"/>
          <w:lang w:val="en-AU" w:eastAsia="en-AU"/>
        </w:rPr>
        <w:t>self-reported use of per serving information</w:t>
      </w:r>
      <w:r w:rsidR="00537186">
        <w:rPr>
          <w:rFonts w:cs="Arial"/>
          <w:szCs w:val="22"/>
          <w:lang w:val="en-AU" w:eastAsia="en-AU"/>
        </w:rPr>
        <w:t>.</w:t>
      </w:r>
      <w:r w:rsidR="00EB1DF6">
        <w:rPr>
          <w:rFonts w:cs="Arial"/>
          <w:szCs w:val="22"/>
          <w:lang w:val="en-AU" w:eastAsia="en-AU"/>
        </w:rPr>
        <w:t xml:space="preserve"> Respondent use of the per serving versus </w:t>
      </w:r>
      <w:r w:rsidR="00EB1DF6">
        <w:rPr>
          <w:lang w:bidi="ar-SA"/>
        </w:rPr>
        <w:t xml:space="preserve">per 100 g information when assessing the relative healthiness of two products is being tested in a limited range of circumstances as part of the research </w:t>
      </w:r>
      <w:r w:rsidR="0041461C">
        <w:rPr>
          <w:lang w:bidi="ar-SA"/>
        </w:rPr>
        <w:t>to investigate</w:t>
      </w:r>
      <w:r w:rsidR="00EB1DF6">
        <w:rPr>
          <w:lang w:bidi="ar-SA"/>
        </w:rPr>
        <w:t xml:space="preserve"> how label elements are used to make decisions.</w:t>
      </w:r>
      <w:r w:rsidR="009A50F8">
        <w:rPr>
          <w:lang w:bidi="ar-SA"/>
        </w:rPr>
        <w:t xml:space="preserve"> </w:t>
      </w:r>
      <w:r w:rsidR="00EB1DF6">
        <w:rPr>
          <w:rFonts w:cs="Arial"/>
          <w:szCs w:val="22"/>
          <w:lang w:val="en-AU" w:eastAsia="en-AU"/>
        </w:rPr>
        <w:t>However</w:t>
      </w:r>
      <w:r w:rsidRPr="005A2FD4">
        <w:rPr>
          <w:rFonts w:cs="Arial"/>
          <w:szCs w:val="22"/>
          <w:lang w:val="en-AU" w:eastAsia="en-AU"/>
        </w:rPr>
        <w:t>, this online survey will not provide FSANZ with a detailed analysis of consumer use and understanding of per serving information</w:t>
      </w:r>
      <w:r w:rsidR="00EB1DF6">
        <w:rPr>
          <w:rFonts w:cs="Arial"/>
          <w:szCs w:val="22"/>
          <w:lang w:val="en-AU" w:eastAsia="en-AU"/>
        </w:rPr>
        <w:t xml:space="preserve">, nor will it provide any data on how per serving information </w:t>
      </w:r>
      <w:r w:rsidR="00BD1B68">
        <w:rPr>
          <w:rFonts w:cs="Arial"/>
          <w:szCs w:val="22"/>
          <w:lang w:val="en-AU" w:eastAsia="en-AU"/>
        </w:rPr>
        <w:t>are</w:t>
      </w:r>
      <w:r w:rsidR="00EB1DF6">
        <w:rPr>
          <w:rFonts w:cs="Arial"/>
          <w:szCs w:val="22"/>
          <w:lang w:val="en-AU" w:eastAsia="en-AU"/>
        </w:rPr>
        <w:t xml:space="preserve"> used in the real world</w:t>
      </w:r>
      <w:r w:rsidRPr="005A2FD4">
        <w:rPr>
          <w:rFonts w:cs="Arial"/>
          <w:szCs w:val="22"/>
          <w:lang w:val="en-AU" w:eastAsia="en-AU"/>
        </w:rPr>
        <w:t xml:space="preserve">. Additional research, using different </w:t>
      </w:r>
      <w:r w:rsidR="006D08B8">
        <w:rPr>
          <w:rFonts w:cs="Arial"/>
          <w:szCs w:val="22"/>
          <w:lang w:val="en-AU" w:eastAsia="en-AU"/>
        </w:rPr>
        <w:t xml:space="preserve">research </w:t>
      </w:r>
      <w:r w:rsidRPr="005A2FD4">
        <w:rPr>
          <w:rFonts w:cs="Arial"/>
          <w:szCs w:val="22"/>
          <w:lang w:val="en-AU" w:eastAsia="en-AU"/>
        </w:rPr>
        <w:t>methodologies</w:t>
      </w:r>
      <w:r w:rsidR="00EB1DF6">
        <w:rPr>
          <w:rFonts w:cs="Arial"/>
          <w:szCs w:val="22"/>
          <w:lang w:val="en-AU" w:eastAsia="en-AU"/>
        </w:rPr>
        <w:t>,</w:t>
      </w:r>
      <w:r w:rsidRPr="005A2FD4">
        <w:rPr>
          <w:rFonts w:cs="Arial"/>
          <w:szCs w:val="22"/>
          <w:lang w:val="en-AU" w:eastAsia="en-AU"/>
        </w:rPr>
        <w:t xml:space="preserve"> would be required to explore this further, if required.</w:t>
      </w:r>
    </w:p>
    <w:p w14:paraId="39F1D8E7" w14:textId="43526957" w:rsidR="009A4612" w:rsidRDefault="009A4612" w:rsidP="00FD4A1A"/>
    <w:p w14:paraId="7A279BDA" w14:textId="6DF52989" w:rsidR="009A4612" w:rsidRDefault="009A4612" w:rsidP="009A4612">
      <w:r>
        <w:t xml:space="preserve">FSANZ notes that there </w:t>
      </w:r>
      <w:r w:rsidR="00FA5E89">
        <w:t xml:space="preserve">are </w:t>
      </w:r>
      <w:r>
        <w:t>projects underway in New Zealand and Australia relating to serving size. In New Zealand, the Ministry of Health is reviewing serving sizes used in its series of</w:t>
      </w:r>
      <w:r w:rsidRPr="00C73387">
        <w:t xml:space="preserve"> </w:t>
      </w:r>
      <w:r w:rsidRPr="00C73387">
        <w:rPr>
          <w:i/>
        </w:rPr>
        <w:t>Food and Nutrition Guidelines</w:t>
      </w:r>
      <w:r w:rsidRPr="00C73387">
        <w:t xml:space="preserve"> f</w:t>
      </w:r>
      <w:r>
        <w:t>or different population groups.</w:t>
      </w:r>
      <w:r w:rsidRPr="00C73387">
        <w:t xml:space="preserve"> The guidelines and related resources support policy makers, health </w:t>
      </w:r>
      <w:r w:rsidR="007F42EB">
        <w:t>professionals</w:t>
      </w:r>
      <w:r w:rsidRPr="00C73387">
        <w:t>, educators, health promoters and consumers to promo</w:t>
      </w:r>
      <w:r>
        <w:t xml:space="preserve">te and consume a healthy diet. </w:t>
      </w:r>
      <w:r w:rsidRPr="00C73387">
        <w:t>Current New Zealand serving sizes</w:t>
      </w:r>
      <w:r>
        <w:t xml:space="preserve"> </w:t>
      </w:r>
      <w:r>
        <w:lastRenderedPageBreak/>
        <w:t>used in the guidelines</w:t>
      </w:r>
      <w:r w:rsidRPr="00C73387">
        <w:t xml:space="preserve"> were developed in the 1990s</w:t>
      </w:r>
      <w:r>
        <w:t>. The Ministry of Health considers</w:t>
      </w:r>
      <w:r w:rsidRPr="00C73387">
        <w:t xml:space="preserve"> </w:t>
      </w:r>
      <w:r>
        <w:t>there is a</w:t>
      </w:r>
      <w:r w:rsidRPr="00C73387">
        <w:t xml:space="preserve"> need to </w:t>
      </w:r>
      <w:r>
        <w:t>update serving sizes</w:t>
      </w:r>
      <w:r w:rsidRPr="00C73387">
        <w:t xml:space="preserve"> to reflect the development of new nutrient requirements, changes in eating patterns</w:t>
      </w:r>
      <w:r>
        <w:t xml:space="preserve"> and </w:t>
      </w:r>
      <w:r w:rsidRPr="00C73387">
        <w:t>New Zealand’s cultural make-up</w:t>
      </w:r>
      <w:r w:rsidR="0041461C">
        <w:t>,</w:t>
      </w:r>
      <w:r>
        <w:t xml:space="preserve"> and to support education initiatives focussed on choosing</w:t>
      </w:r>
      <w:r w:rsidRPr="00C73387">
        <w:t xml:space="preserve"> optimal diets for health and wellbeing</w:t>
      </w:r>
      <w:r>
        <w:t>.</w:t>
      </w:r>
      <w:r w:rsidRPr="00C73387">
        <w:t xml:space="preserve"> </w:t>
      </w:r>
    </w:p>
    <w:p w14:paraId="5C92EC62" w14:textId="77777777" w:rsidR="009A4612" w:rsidRDefault="009A4612" w:rsidP="009A4612"/>
    <w:p w14:paraId="0B8364EA" w14:textId="2FE4A144" w:rsidR="009A4612" w:rsidRDefault="009A4612" w:rsidP="009A4612">
      <w:r>
        <w:t>The Food and Health Dialogue (the Dialogue)</w:t>
      </w:r>
      <w:r>
        <w:rPr>
          <w:rStyle w:val="FootnoteReference"/>
          <w:lang w:val="en"/>
        </w:rPr>
        <w:footnoteReference w:id="10"/>
      </w:r>
      <w:r>
        <w:t xml:space="preserve"> was established in March 2009 by the Australian Government with the primary focus being food innovation. This includes a voluntary reformulation program to reduce the salt, added sugar, saturated fat and energy, and increase the fibre, wholegrain, fruit and vegetable</w:t>
      </w:r>
      <w:r w:rsidR="0041461C">
        <w:t>,</w:t>
      </w:r>
      <w:r>
        <w:t xml:space="preserve"> content of commonly consumed foods</w:t>
      </w:r>
      <w:r w:rsidRPr="00EE5B2D">
        <w:t>. The future of the Dialogue is being considered by the</w:t>
      </w:r>
      <w:r>
        <w:t xml:space="preserve"> Government, including possible activities aimed at broadening the focus of the Dialogue to include serving size used on food labels and physical activity. </w:t>
      </w:r>
    </w:p>
    <w:p w14:paraId="7EC5D01F" w14:textId="77777777" w:rsidR="007B30E2" w:rsidRDefault="00681981" w:rsidP="007B30E2">
      <w:pPr>
        <w:pStyle w:val="Heading1"/>
      </w:pPr>
      <w:bookmarkStart w:id="22" w:name="_Toc437416153"/>
      <w:r>
        <w:t>4</w:t>
      </w:r>
      <w:r w:rsidR="007B30E2" w:rsidRPr="00AF397D">
        <w:tab/>
      </w:r>
      <w:r w:rsidR="00AC6E00">
        <w:t>Conclusion</w:t>
      </w:r>
      <w:bookmarkEnd w:id="22"/>
    </w:p>
    <w:p w14:paraId="6C382AF9" w14:textId="11579A42" w:rsidR="002361D2" w:rsidRDefault="002361D2" w:rsidP="002361D2">
      <w:pPr>
        <w:ind w:left="567" w:hanging="567"/>
        <w:rPr>
          <w:lang w:bidi="ar-SA"/>
        </w:rPr>
      </w:pPr>
      <w:r>
        <w:rPr>
          <w:lang w:bidi="ar-SA"/>
        </w:rPr>
        <w:t>The key findings from this analysis of Recommendation 17 are as follows:</w:t>
      </w:r>
    </w:p>
    <w:p w14:paraId="66E6F19F" w14:textId="77777777" w:rsidR="0002763F" w:rsidRDefault="0002763F" w:rsidP="0094091B">
      <w:pPr>
        <w:rPr>
          <w:lang w:bidi="ar-SA"/>
        </w:rPr>
      </w:pPr>
    </w:p>
    <w:p w14:paraId="69B3891A" w14:textId="77777777" w:rsidR="00EC21A3" w:rsidRDefault="00EC21A3" w:rsidP="00EC21A3">
      <w:pPr>
        <w:pStyle w:val="ListParagraph"/>
        <w:numPr>
          <w:ilvl w:val="0"/>
          <w:numId w:val="30"/>
        </w:numPr>
        <w:ind w:left="567" w:hanging="567"/>
      </w:pPr>
      <w:r>
        <w:t>Submissions indicated that consumers, including those managing diseases, health professionals, food businesses and government agencies all value per serving information in the NIP.</w:t>
      </w:r>
    </w:p>
    <w:p w14:paraId="279F8D94" w14:textId="77777777" w:rsidR="00EC21A3" w:rsidRDefault="00EC21A3" w:rsidP="00EC21A3">
      <w:pPr>
        <w:pStyle w:val="ListParagraph"/>
        <w:ind w:left="567"/>
      </w:pPr>
    </w:p>
    <w:p w14:paraId="2F072628" w14:textId="77777777" w:rsidR="00EC21A3" w:rsidRDefault="00EC21A3" w:rsidP="00EC21A3">
      <w:pPr>
        <w:pStyle w:val="ListParagraph"/>
        <w:numPr>
          <w:ilvl w:val="0"/>
          <w:numId w:val="31"/>
        </w:numPr>
        <w:ind w:left="567" w:hanging="567"/>
      </w:pPr>
      <w:r>
        <w:t>The vast majority of the 78 submitters to the public consultation did not support the recommendation to remove the mandatory requirement for per serving information in the NIP. This view was expressed by consumers, health professionals, food businesses and government agencies.</w:t>
      </w:r>
    </w:p>
    <w:p w14:paraId="57598694" w14:textId="77777777" w:rsidR="0002763F" w:rsidRDefault="0002763F" w:rsidP="0002763F"/>
    <w:p w14:paraId="208CD0E1" w14:textId="77777777" w:rsidR="0002763F" w:rsidRPr="004551D2" w:rsidRDefault="0002763F" w:rsidP="0002763F">
      <w:pPr>
        <w:pStyle w:val="ListParagraph"/>
        <w:numPr>
          <w:ilvl w:val="0"/>
          <w:numId w:val="32"/>
        </w:numPr>
        <w:ind w:left="567" w:hanging="567"/>
        <w:rPr>
          <w:rFonts w:cs="Arial"/>
        </w:rPr>
      </w:pPr>
      <w:r w:rsidRPr="004551D2">
        <w:rPr>
          <w:rFonts w:cs="Arial"/>
        </w:rPr>
        <w:t>Reasons given by submitters for not supporting removing the mandatory requirement for per serving information in the NIP included:</w:t>
      </w:r>
    </w:p>
    <w:p w14:paraId="55361DE8" w14:textId="77777777" w:rsidR="0002763F" w:rsidRPr="004551D2" w:rsidRDefault="0002763F" w:rsidP="0002763F">
      <w:pPr>
        <w:pStyle w:val="ListParagraph"/>
        <w:rPr>
          <w:rFonts w:cs="Arial"/>
        </w:rPr>
      </w:pPr>
    </w:p>
    <w:p w14:paraId="182622C7" w14:textId="77777777" w:rsidR="0002763F" w:rsidRPr="004551D2" w:rsidRDefault="0002763F" w:rsidP="0002763F">
      <w:pPr>
        <w:pStyle w:val="FSDash"/>
        <w:numPr>
          <w:ilvl w:val="0"/>
          <w:numId w:val="33"/>
        </w:numPr>
        <w:ind w:left="1134" w:hanging="567"/>
        <w:rPr>
          <w:rFonts w:cs="Arial"/>
          <w:szCs w:val="22"/>
        </w:rPr>
      </w:pPr>
      <w:r w:rsidRPr="004551D2">
        <w:rPr>
          <w:rFonts w:cs="Arial"/>
          <w:szCs w:val="22"/>
        </w:rPr>
        <w:t>lack of a defined problem with per serving requirements</w:t>
      </w:r>
    </w:p>
    <w:p w14:paraId="0A10E970" w14:textId="77777777" w:rsidR="0002763F" w:rsidRPr="004551D2" w:rsidRDefault="0002763F" w:rsidP="0002763F">
      <w:pPr>
        <w:pStyle w:val="FSDash"/>
        <w:numPr>
          <w:ilvl w:val="0"/>
          <w:numId w:val="33"/>
        </w:numPr>
        <w:ind w:left="1134" w:hanging="567"/>
        <w:rPr>
          <w:rFonts w:cs="Arial"/>
          <w:szCs w:val="22"/>
        </w:rPr>
      </w:pPr>
      <w:r w:rsidRPr="004551D2">
        <w:rPr>
          <w:rFonts w:cs="Arial"/>
          <w:szCs w:val="22"/>
        </w:rPr>
        <w:t>lack of apparent benefit for any stakeholder group</w:t>
      </w:r>
    </w:p>
    <w:p w14:paraId="45D8298E" w14:textId="77777777" w:rsidR="0002763F" w:rsidRPr="004551D2" w:rsidRDefault="0002763F" w:rsidP="0002763F">
      <w:pPr>
        <w:pStyle w:val="FSDash"/>
        <w:numPr>
          <w:ilvl w:val="0"/>
          <w:numId w:val="33"/>
        </w:numPr>
        <w:ind w:left="1134" w:hanging="567"/>
        <w:rPr>
          <w:rFonts w:cs="Arial"/>
          <w:szCs w:val="22"/>
        </w:rPr>
      </w:pPr>
      <w:r w:rsidRPr="004551D2">
        <w:rPr>
          <w:rFonts w:cs="Arial"/>
          <w:szCs w:val="22"/>
        </w:rPr>
        <w:t xml:space="preserve">possible increased consumer confusion with variability in the content and format of NIPs given inclusion of per serving information would be voluntary </w:t>
      </w:r>
    </w:p>
    <w:p w14:paraId="10BF0B73" w14:textId="77777777" w:rsidR="0002763F" w:rsidRPr="004551D2" w:rsidRDefault="0002763F" w:rsidP="0002763F">
      <w:pPr>
        <w:pStyle w:val="FSDash"/>
        <w:numPr>
          <w:ilvl w:val="0"/>
          <w:numId w:val="33"/>
        </w:numPr>
        <w:ind w:left="1134" w:hanging="567"/>
        <w:rPr>
          <w:rFonts w:cs="Arial"/>
          <w:szCs w:val="22"/>
        </w:rPr>
      </w:pPr>
      <w:r w:rsidRPr="004551D2">
        <w:rPr>
          <w:rFonts w:cs="Arial"/>
          <w:szCs w:val="22"/>
        </w:rPr>
        <w:t>increased difficulty for consumers in calculating per serving amounts</w:t>
      </w:r>
    </w:p>
    <w:p w14:paraId="0C26EC9C" w14:textId="77777777" w:rsidR="0002763F" w:rsidRPr="004551D2" w:rsidRDefault="0002763F" w:rsidP="0002763F">
      <w:pPr>
        <w:pStyle w:val="FSDash"/>
        <w:numPr>
          <w:ilvl w:val="0"/>
          <w:numId w:val="33"/>
        </w:numPr>
        <w:ind w:left="1134" w:hanging="567"/>
        <w:rPr>
          <w:rFonts w:cs="Arial"/>
          <w:szCs w:val="22"/>
        </w:rPr>
      </w:pPr>
      <w:r w:rsidRPr="004551D2">
        <w:rPr>
          <w:rFonts w:cs="Arial"/>
          <w:szCs w:val="22"/>
        </w:rPr>
        <w:t>little, if any, reduction in regulatory burden for industry</w:t>
      </w:r>
    </w:p>
    <w:p w14:paraId="4C4FC821" w14:textId="77777777" w:rsidR="0002763F" w:rsidRPr="004551D2" w:rsidRDefault="0002763F" w:rsidP="0002763F">
      <w:pPr>
        <w:pStyle w:val="FSDash"/>
        <w:numPr>
          <w:ilvl w:val="0"/>
          <w:numId w:val="33"/>
        </w:numPr>
        <w:ind w:left="1134" w:hanging="567"/>
        <w:rPr>
          <w:rFonts w:cs="Arial"/>
          <w:szCs w:val="22"/>
        </w:rPr>
      </w:pPr>
      <w:r w:rsidRPr="004551D2">
        <w:rPr>
          <w:rFonts w:cs="Arial"/>
          <w:szCs w:val="22"/>
        </w:rPr>
        <w:t>increased complexity of a valued nutrition education tool from variability in content and format of the NIP</w:t>
      </w:r>
    </w:p>
    <w:p w14:paraId="2BBD8151" w14:textId="77777777" w:rsidR="0002763F" w:rsidRPr="004551D2" w:rsidRDefault="0002763F" w:rsidP="0002763F">
      <w:pPr>
        <w:pStyle w:val="FSDash"/>
        <w:numPr>
          <w:ilvl w:val="0"/>
          <w:numId w:val="33"/>
        </w:numPr>
        <w:ind w:left="1134" w:hanging="567"/>
        <w:rPr>
          <w:rFonts w:cs="Arial"/>
          <w:szCs w:val="22"/>
        </w:rPr>
      </w:pPr>
      <w:r w:rsidRPr="004551D2">
        <w:rPr>
          <w:rFonts w:cs="Arial"/>
          <w:szCs w:val="22"/>
        </w:rPr>
        <w:t>increased difficulty with compliance and enforcement activities.</w:t>
      </w:r>
    </w:p>
    <w:p w14:paraId="2016C669" w14:textId="77777777" w:rsidR="0002763F" w:rsidRDefault="0002763F" w:rsidP="0002763F">
      <w:pPr>
        <w:pStyle w:val="ListParagraph"/>
        <w:ind w:left="1134"/>
      </w:pPr>
    </w:p>
    <w:p w14:paraId="24C676A6" w14:textId="77777777" w:rsidR="0002763F" w:rsidRDefault="0002763F" w:rsidP="0002763F">
      <w:pPr>
        <w:pStyle w:val="ListParagraph"/>
        <w:numPr>
          <w:ilvl w:val="0"/>
          <w:numId w:val="34"/>
        </w:numPr>
        <w:ind w:left="567" w:hanging="567"/>
      </w:pPr>
      <w:r>
        <w:t>The requirements for the declaration of energy and nutrients in the NIP in Australia/New Zealand differ from those in the USA, Canada and the EU. The main differences are that in the USA and Canada, energy and nutrients are declared per serving (and not per 100 g/100 mL) while in the EU, energy and nutrients are declared per 100 g/100 mL with the option of including per serving amounts.</w:t>
      </w:r>
    </w:p>
    <w:p w14:paraId="6CC2833C" w14:textId="77777777" w:rsidR="0002763F" w:rsidRDefault="0002763F" w:rsidP="0002763F">
      <w:pPr>
        <w:pStyle w:val="ListParagraph"/>
        <w:ind w:left="567"/>
      </w:pPr>
    </w:p>
    <w:p w14:paraId="7D319931" w14:textId="77777777" w:rsidR="0002763F" w:rsidRDefault="0002763F" w:rsidP="0002763F">
      <w:pPr>
        <w:pStyle w:val="ListParagraph"/>
        <w:numPr>
          <w:ilvl w:val="0"/>
          <w:numId w:val="35"/>
        </w:numPr>
        <w:ind w:left="567" w:hanging="567"/>
      </w:pPr>
      <w:r>
        <w:t>Should recommendation 17 be considered further, the impact of implementing the recommendation on a number of standards in the Code would need to be assessed. Situations where per serving information might be mandated would also need to be investigated, for example, when a daily intake claim or nutrition content or health claim is made.</w:t>
      </w:r>
    </w:p>
    <w:p w14:paraId="72CEEB80" w14:textId="77777777" w:rsidR="0002763F" w:rsidRDefault="0002763F" w:rsidP="0002763F">
      <w:pPr>
        <w:pStyle w:val="ListParagraph"/>
        <w:ind w:left="567"/>
      </w:pPr>
    </w:p>
    <w:p w14:paraId="072D93B3" w14:textId="77777777" w:rsidR="0002763F" w:rsidRDefault="0002763F" w:rsidP="0002763F">
      <w:pPr>
        <w:pStyle w:val="ListParagraph"/>
        <w:numPr>
          <w:ilvl w:val="0"/>
          <w:numId w:val="36"/>
        </w:numPr>
        <w:ind w:left="567" w:hanging="567"/>
      </w:pPr>
      <w:r>
        <w:t>While some submitters stated it was unclear whether there is a problem with current requirements for per serving information, some noted that improvements could be made to the NIP in general. It was suggested that a review of the NIP as a whole may be helpful to identify problems and that such a review should be undertaken in the context of all nutrition labelling including front-of-pack labelling. Several submitters considered mandating serving sizes to be a more important issue than changing requirements for per serving information.</w:t>
      </w:r>
    </w:p>
    <w:p w14:paraId="3AD2CC91" w14:textId="77777777" w:rsidR="0002763F" w:rsidRDefault="0002763F" w:rsidP="0002763F">
      <w:pPr>
        <w:pStyle w:val="ListParagraph"/>
        <w:ind w:left="567"/>
      </w:pPr>
    </w:p>
    <w:p w14:paraId="5A164D3E" w14:textId="4D86AA53" w:rsidR="0002763F" w:rsidRPr="00810A8A" w:rsidRDefault="0002763F" w:rsidP="0002763F">
      <w:pPr>
        <w:pStyle w:val="ListParagraph"/>
        <w:numPr>
          <w:ilvl w:val="0"/>
          <w:numId w:val="36"/>
        </w:numPr>
        <w:ind w:left="567" w:hanging="567"/>
      </w:pPr>
      <w:r>
        <w:t>Submitters noted that no decision about nutrition labelling should be made without consumer research in the Australia and New Zealand context</w:t>
      </w:r>
    </w:p>
    <w:p w14:paraId="7EC5D023" w14:textId="6092A3AA" w:rsidR="001122EC" w:rsidRDefault="00681981" w:rsidP="001122EC">
      <w:pPr>
        <w:pStyle w:val="Heading1"/>
      </w:pPr>
      <w:bookmarkStart w:id="23" w:name="_Toc437416154"/>
      <w:bookmarkStart w:id="24" w:name="_Toc11735643"/>
      <w:bookmarkStart w:id="25" w:name="_Toc29883130"/>
      <w:bookmarkStart w:id="26" w:name="_Toc41906817"/>
      <w:bookmarkStart w:id="27" w:name="_Toc41907564"/>
      <w:bookmarkStart w:id="28" w:name="_Toc43112360"/>
      <w:bookmarkEnd w:id="4"/>
      <w:bookmarkEnd w:id="5"/>
      <w:bookmarkEnd w:id="6"/>
      <w:bookmarkEnd w:id="7"/>
      <w:bookmarkEnd w:id="8"/>
      <w:r>
        <w:t>5</w:t>
      </w:r>
      <w:r w:rsidR="001122EC">
        <w:tab/>
        <w:t>R</w:t>
      </w:r>
      <w:r w:rsidR="000B427A">
        <w:t>eferences</w:t>
      </w:r>
      <w:bookmarkEnd w:id="23"/>
    </w:p>
    <w:bookmarkEnd w:id="24"/>
    <w:bookmarkEnd w:id="25"/>
    <w:bookmarkEnd w:id="26"/>
    <w:bookmarkEnd w:id="27"/>
    <w:bookmarkEnd w:id="28"/>
    <w:p w14:paraId="7EC5D025" w14:textId="6E6F44E7" w:rsidR="00221664" w:rsidRPr="00DA1A2D" w:rsidRDefault="00221664" w:rsidP="00221664">
      <w:pPr>
        <w:rPr>
          <w:rFonts w:cs="Arial"/>
          <w:sz w:val="20"/>
          <w:szCs w:val="20"/>
        </w:rPr>
      </w:pPr>
      <w:r w:rsidRPr="00DA1A2D">
        <w:rPr>
          <w:rFonts w:cs="Arial"/>
          <w:sz w:val="20"/>
          <w:szCs w:val="20"/>
          <w:lang w:bidi="ar-SA"/>
        </w:rPr>
        <w:t xml:space="preserve">Blewett N, Goddard N, Pettigrew S, Reynolds C, Yeatman H (2011) Labelling logic: Review of food labelling law and policy (2011). Department of Health and Ageing, Canberra, Australia. </w:t>
      </w:r>
      <w:hyperlink r:id="rId22" w:history="1">
        <w:r w:rsidR="009A1D4B" w:rsidRPr="00DA1A2D">
          <w:rPr>
            <w:rStyle w:val="Hyperlink"/>
            <w:rFonts w:cs="Arial"/>
            <w:sz w:val="20"/>
            <w:szCs w:val="20"/>
          </w:rPr>
          <w:t>http://www.foodlabellingreview.gov.au/internet/foodlabelling/publishing.nsf/Content/labelling-logic. Accessed 29 September 2014</w:t>
        </w:r>
      </w:hyperlink>
    </w:p>
    <w:p w14:paraId="4EB2263C" w14:textId="77777777" w:rsidR="009A1D4B" w:rsidRPr="00DA1A2D" w:rsidRDefault="009A1D4B" w:rsidP="00221664">
      <w:pPr>
        <w:rPr>
          <w:rStyle w:val="Hyperlink"/>
          <w:rFonts w:cs="Arial"/>
          <w:sz w:val="20"/>
          <w:szCs w:val="20"/>
          <w:lang w:val="en-NZ" w:eastAsia="en-NZ" w:bidi="ar-SA"/>
        </w:rPr>
      </w:pPr>
    </w:p>
    <w:p w14:paraId="3D6EF398" w14:textId="77777777" w:rsidR="009A1D4B" w:rsidRPr="00DA1A2D" w:rsidRDefault="009A1D4B" w:rsidP="009A1D4B">
      <w:pPr>
        <w:rPr>
          <w:rFonts w:cs="Arial"/>
          <w:sz w:val="20"/>
          <w:szCs w:val="20"/>
          <w:lang w:bidi="ar-SA"/>
        </w:rPr>
      </w:pPr>
      <w:r w:rsidRPr="00DA1A2D">
        <w:rPr>
          <w:rFonts w:cs="Arial"/>
          <w:sz w:val="20"/>
          <w:szCs w:val="20"/>
          <w:lang w:bidi="ar-SA"/>
        </w:rPr>
        <w:t>Cowburn G and Stockley L (2005) Consumer understanding and use of nutrition labelling: a systematic review. Public Health Nutrition 8:1: 21-8</w:t>
      </w:r>
    </w:p>
    <w:p w14:paraId="7EC5D030" w14:textId="77777777" w:rsidR="004038E1" w:rsidRPr="00924C80" w:rsidRDefault="004038E1" w:rsidP="004038E1">
      <w:pPr>
        <w:spacing w:before="240"/>
        <w:rPr>
          <w:b/>
          <w:sz w:val="28"/>
          <w:szCs w:val="28"/>
        </w:rPr>
      </w:pPr>
      <w:r w:rsidRPr="00924C80">
        <w:rPr>
          <w:b/>
          <w:sz w:val="28"/>
          <w:szCs w:val="28"/>
        </w:rPr>
        <w:t>A</w:t>
      </w:r>
      <w:r>
        <w:rPr>
          <w:b/>
          <w:sz w:val="28"/>
          <w:szCs w:val="28"/>
        </w:rPr>
        <w:t>ttachments</w:t>
      </w:r>
    </w:p>
    <w:p w14:paraId="7EC5D031" w14:textId="77777777" w:rsidR="004038E1" w:rsidRPr="00E203C2" w:rsidRDefault="004038E1" w:rsidP="004038E1"/>
    <w:p w14:paraId="5007BB93" w14:textId="77777777" w:rsidR="00D93C0F" w:rsidRPr="00D93C0F" w:rsidRDefault="00D93C0F" w:rsidP="00D93C0F">
      <w:pPr>
        <w:pStyle w:val="CommentText"/>
        <w:numPr>
          <w:ilvl w:val="0"/>
          <w:numId w:val="9"/>
        </w:numPr>
        <w:ind w:left="567" w:hanging="567"/>
        <w:rPr>
          <w:sz w:val="22"/>
          <w:szCs w:val="22"/>
        </w:rPr>
      </w:pPr>
      <w:r w:rsidRPr="00D93C0F">
        <w:rPr>
          <w:sz w:val="22"/>
          <w:szCs w:val="22"/>
        </w:rPr>
        <w:t xml:space="preserve">Requirements for per serving information in the Australia and New Zealand Food Standards Code </w:t>
      </w:r>
    </w:p>
    <w:p w14:paraId="6E2C435B" w14:textId="53B3D2F0" w:rsidR="00D93C0F" w:rsidRPr="00D93C0F" w:rsidRDefault="00D93C0F" w:rsidP="00D93C0F">
      <w:pPr>
        <w:pStyle w:val="CommentText"/>
        <w:numPr>
          <w:ilvl w:val="0"/>
          <w:numId w:val="9"/>
        </w:numPr>
        <w:ind w:left="567" w:hanging="567"/>
        <w:rPr>
          <w:sz w:val="22"/>
          <w:szCs w:val="22"/>
        </w:rPr>
      </w:pPr>
      <w:r w:rsidRPr="00D93C0F">
        <w:rPr>
          <w:sz w:val="22"/>
          <w:szCs w:val="22"/>
        </w:rPr>
        <w:t>Requirements for declaration of energy and nutrients in nutrition information panels in Australia/New Zealand, Canada, the USA, the EU and from Codex</w:t>
      </w:r>
    </w:p>
    <w:p w14:paraId="753FC2FF" w14:textId="3E6E1F9D" w:rsidR="00577629" w:rsidRDefault="00577629" w:rsidP="00D93C0F">
      <w:pPr>
        <w:pStyle w:val="CommentText"/>
        <w:numPr>
          <w:ilvl w:val="0"/>
          <w:numId w:val="9"/>
        </w:numPr>
        <w:ind w:left="567" w:hanging="567"/>
        <w:rPr>
          <w:sz w:val="22"/>
        </w:rPr>
      </w:pPr>
      <w:r w:rsidRPr="00D93C0F">
        <w:rPr>
          <w:sz w:val="22"/>
        </w:rPr>
        <w:t>Regulatory requirements for serving sizes in Canada and the USA</w:t>
      </w:r>
    </w:p>
    <w:p w14:paraId="7215FC69" w14:textId="21B74946" w:rsidR="00577629" w:rsidRPr="007F40FD" w:rsidRDefault="00577629" w:rsidP="007F40FD">
      <w:pPr>
        <w:pStyle w:val="CommentText"/>
        <w:numPr>
          <w:ilvl w:val="0"/>
          <w:numId w:val="9"/>
        </w:numPr>
        <w:ind w:left="567" w:hanging="567"/>
        <w:rPr>
          <w:sz w:val="22"/>
          <w:szCs w:val="22"/>
        </w:rPr>
      </w:pPr>
      <w:r w:rsidRPr="007F40FD">
        <w:rPr>
          <w:sz w:val="22"/>
          <w:szCs w:val="22"/>
        </w:rPr>
        <w:t>Previous FSANZ consideration of per serving information in the NIP</w:t>
      </w:r>
    </w:p>
    <w:p w14:paraId="7428B917" w14:textId="77777777" w:rsidR="00577629" w:rsidRDefault="00577629" w:rsidP="00577629">
      <w:pPr>
        <w:pStyle w:val="CommentText"/>
        <w:rPr>
          <w:sz w:val="22"/>
          <w:szCs w:val="22"/>
        </w:rPr>
      </w:pPr>
    </w:p>
    <w:p w14:paraId="71645C63" w14:textId="7FC640F4" w:rsidR="00F85910" w:rsidRDefault="00F85910" w:rsidP="00F85910">
      <w:pPr>
        <w:pStyle w:val="CommentText"/>
        <w:rPr>
          <w:sz w:val="22"/>
          <w:szCs w:val="22"/>
        </w:rPr>
      </w:pPr>
    </w:p>
    <w:p w14:paraId="55DBE217" w14:textId="77777777" w:rsidR="00F85910" w:rsidRDefault="00F85910">
      <w:pPr>
        <w:widowControl/>
        <w:rPr>
          <w:szCs w:val="22"/>
        </w:rPr>
      </w:pPr>
      <w:r>
        <w:rPr>
          <w:b/>
          <w:bCs/>
        </w:rPr>
        <w:br w:type="page"/>
      </w:r>
    </w:p>
    <w:p w14:paraId="7EC5D034" w14:textId="4C4E81F2" w:rsidR="004038E1" w:rsidRDefault="00084690" w:rsidP="003E0646">
      <w:pPr>
        <w:pStyle w:val="Heading2"/>
        <w:ind w:left="0" w:firstLine="0"/>
      </w:pPr>
      <w:bookmarkStart w:id="29" w:name="_Toc437416155"/>
      <w:r>
        <w:lastRenderedPageBreak/>
        <w:t xml:space="preserve">Attachment A – </w:t>
      </w:r>
      <w:r w:rsidR="003E0646">
        <w:t xml:space="preserve">Requirements </w:t>
      </w:r>
      <w:r w:rsidR="009123C3">
        <w:t>f</w:t>
      </w:r>
      <w:r w:rsidR="003E0646">
        <w:t>or per serving information in the Australia and New Zealand Food Standards Code</w:t>
      </w:r>
      <w:r w:rsidR="00C81D43">
        <w:rPr>
          <w:rStyle w:val="FootnoteReference"/>
        </w:rPr>
        <w:footnoteReference w:id="11"/>
      </w:r>
      <w:bookmarkEnd w:id="29"/>
    </w:p>
    <w:p w14:paraId="4B21295F" w14:textId="77777777" w:rsidR="00D31879" w:rsidRPr="007D65E7" w:rsidRDefault="00D31879" w:rsidP="00D31879">
      <w:pPr>
        <w:pStyle w:val="Heading3"/>
      </w:pPr>
      <w:bookmarkStart w:id="30" w:name="_Toc405365736"/>
      <w:r>
        <w:t>3.1.3</w:t>
      </w:r>
      <w:r>
        <w:tab/>
      </w:r>
      <w:r w:rsidRPr="00267883">
        <w:t>Requirements</w:t>
      </w:r>
      <w:r>
        <w:t xml:space="preserve"> for per serving information</w:t>
      </w:r>
      <w:bookmarkEnd w:id="30"/>
    </w:p>
    <w:p w14:paraId="523D077D" w14:textId="3F5D93E2" w:rsidR="00D31879" w:rsidRDefault="00D31879" w:rsidP="00D31879">
      <w:r w:rsidRPr="0098717D">
        <w:t>Standard 1.2.8 – Nutrition Information Requirements</w:t>
      </w:r>
      <w:r>
        <w:t xml:space="preserve">, sets out the requirements for format and content of the NIP. </w:t>
      </w:r>
    </w:p>
    <w:p w14:paraId="0A55286C" w14:textId="77777777" w:rsidR="00D31879" w:rsidRDefault="00D31879" w:rsidP="00D31879">
      <w:pPr>
        <w:pStyle w:val="ListParagraph"/>
        <w:tabs>
          <w:tab w:val="left" w:pos="900"/>
        </w:tabs>
        <w:ind w:left="0"/>
      </w:pPr>
      <w:r>
        <w:tab/>
      </w:r>
    </w:p>
    <w:p w14:paraId="7FFC5AD2" w14:textId="77777777" w:rsidR="00D31879" w:rsidRPr="00B601CC" w:rsidRDefault="00D31879" w:rsidP="00D31879">
      <w:pPr>
        <w:rPr>
          <w:rFonts w:cs="Arial"/>
        </w:rPr>
      </w:pPr>
      <w:r w:rsidRPr="00B601CC">
        <w:rPr>
          <w:rFonts w:cs="Arial"/>
        </w:rPr>
        <w:t xml:space="preserve">The average </w:t>
      </w:r>
      <w:r>
        <w:rPr>
          <w:rFonts w:cs="Arial"/>
        </w:rPr>
        <w:t>quantity</w:t>
      </w:r>
      <w:r w:rsidRPr="00B601CC">
        <w:rPr>
          <w:rFonts w:cs="Arial"/>
        </w:rPr>
        <w:t xml:space="preserve"> of the following</w:t>
      </w:r>
      <w:r>
        <w:rPr>
          <w:rFonts w:cs="Arial"/>
        </w:rPr>
        <w:t xml:space="preserve"> must be declared per serving and per 100 g or 100 mL of the food in the NIP</w:t>
      </w:r>
      <w:r w:rsidRPr="00B601CC">
        <w:rPr>
          <w:rFonts w:cs="Arial"/>
        </w:rPr>
        <w:t>:</w:t>
      </w:r>
    </w:p>
    <w:p w14:paraId="0F353536" w14:textId="77777777" w:rsidR="00D31879" w:rsidRPr="00B601CC" w:rsidRDefault="00D31879" w:rsidP="00D31879">
      <w:pPr>
        <w:rPr>
          <w:rFonts w:cs="Arial"/>
        </w:rPr>
      </w:pPr>
    </w:p>
    <w:p w14:paraId="074702F5" w14:textId="77777777" w:rsidR="00D31879" w:rsidRPr="00B601CC" w:rsidRDefault="00D31879" w:rsidP="002119B3">
      <w:pPr>
        <w:pStyle w:val="FSBullet1"/>
        <w:numPr>
          <w:ilvl w:val="0"/>
          <w:numId w:val="7"/>
        </w:numPr>
        <w:tabs>
          <w:tab w:val="num" w:pos="567"/>
        </w:tabs>
        <w:ind w:left="567" w:hanging="567"/>
      </w:pPr>
      <w:r w:rsidRPr="00B601CC">
        <w:t>energy content</w:t>
      </w:r>
      <w:r>
        <w:t xml:space="preserve"> (expressed in kilojoules or in both kilojoules and calories (kilocalories))</w:t>
      </w:r>
    </w:p>
    <w:p w14:paraId="4A49162B" w14:textId="77777777" w:rsidR="00D31879" w:rsidRPr="00B601CC" w:rsidRDefault="00D31879" w:rsidP="002119B3">
      <w:pPr>
        <w:pStyle w:val="FSBullet1"/>
        <w:numPr>
          <w:ilvl w:val="0"/>
          <w:numId w:val="7"/>
        </w:numPr>
        <w:tabs>
          <w:tab w:val="num" w:pos="567"/>
        </w:tabs>
        <w:ind w:left="567" w:hanging="567"/>
      </w:pPr>
      <w:r w:rsidRPr="00B601CC">
        <w:t>protein</w:t>
      </w:r>
    </w:p>
    <w:p w14:paraId="70E44D0E" w14:textId="77777777" w:rsidR="00D31879" w:rsidRPr="00B601CC" w:rsidRDefault="00D31879" w:rsidP="002119B3">
      <w:pPr>
        <w:pStyle w:val="FSBullet1"/>
        <w:numPr>
          <w:ilvl w:val="0"/>
          <w:numId w:val="7"/>
        </w:numPr>
        <w:tabs>
          <w:tab w:val="num" w:pos="567"/>
        </w:tabs>
        <w:ind w:left="567" w:hanging="567"/>
        <w:rPr>
          <w:szCs w:val="22"/>
        </w:rPr>
      </w:pPr>
      <w:r w:rsidRPr="00B601CC">
        <w:rPr>
          <w:szCs w:val="22"/>
        </w:rPr>
        <w:t>fat</w:t>
      </w:r>
    </w:p>
    <w:p w14:paraId="016CFF56" w14:textId="77777777" w:rsidR="00D31879" w:rsidRPr="00B601CC" w:rsidRDefault="00D31879" w:rsidP="002119B3">
      <w:pPr>
        <w:pStyle w:val="FSBullet1"/>
        <w:numPr>
          <w:ilvl w:val="0"/>
          <w:numId w:val="7"/>
        </w:numPr>
        <w:tabs>
          <w:tab w:val="num" w:pos="567"/>
        </w:tabs>
        <w:ind w:left="567" w:hanging="567"/>
        <w:rPr>
          <w:szCs w:val="22"/>
        </w:rPr>
      </w:pPr>
      <w:r w:rsidRPr="00B601CC">
        <w:rPr>
          <w:szCs w:val="22"/>
        </w:rPr>
        <w:t>saturated fat</w:t>
      </w:r>
    </w:p>
    <w:p w14:paraId="4D8C3346" w14:textId="77777777" w:rsidR="00D31879" w:rsidRPr="00B601CC" w:rsidRDefault="00D31879" w:rsidP="002119B3">
      <w:pPr>
        <w:pStyle w:val="FSBullet1"/>
        <w:numPr>
          <w:ilvl w:val="0"/>
          <w:numId w:val="7"/>
        </w:numPr>
        <w:tabs>
          <w:tab w:val="num" w:pos="567"/>
        </w:tabs>
        <w:ind w:left="567" w:hanging="567"/>
        <w:rPr>
          <w:szCs w:val="22"/>
        </w:rPr>
      </w:pPr>
      <w:r w:rsidRPr="00B601CC">
        <w:rPr>
          <w:szCs w:val="22"/>
        </w:rPr>
        <w:t>carbohydrate</w:t>
      </w:r>
    </w:p>
    <w:p w14:paraId="1697E4A4" w14:textId="77777777" w:rsidR="00D31879" w:rsidRPr="00B601CC" w:rsidRDefault="00D31879" w:rsidP="002119B3">
      <w:pPr>
        <w:pStyle w:val="FSBullet1"/>
        <w:numPr>
          <w:ilvl w:val="0"/>
          <w:numId w:val="7"/>
        </w:numPr>
        <w:tabs>
          <w:tab w:val="num" w:pos="567"/>
        </w:tabs>
        <w:ind w:left="567" w:hanging="567"/>
        <w:rPr>
          <w:szCs w:val="22"/>
        </w:rPr>
      </w:pPr>
      <w:r w:rsidRPr="00B601CC">
        <w:rPr>
          <w:szCs w:val="22"/>
        </w:rPr>
        <w:t>sugars</w:t>
      </w:r>
    </w:p>
    <w:p w14:paraId="5C2B2F35" w14:textId="77777777" w:rsidR="00D31879" w:rsidRDefault="00D31879" w:rsidP="002119B3">
      <w:pPr>
        <w:pStyle w:val="FSBullet1"/>
        <w:numPr>
          <w:ilvl w:val="0"/>
          <w:numId w:val="7"/>
        </w:numPr>
        <w:tabs>
          <w:tab w:val="num" w:pos="567"/>
        </w:tabs>
        <w:ind w:left="567" w:hanging="567"/>
        <w:rPr>
          <w:szCs w:val="22"/>
        </w:rPr>
      </w:pPr>
      <w:r w:rsidRPr="00B601CC">
        <w:rPr>
          <w:szCs w:val="22"/>
        </w:rPr>
        <w:t>sodium</w:t>
      </w:r>
      <w:r>
        <w:rPr>
          <w:szCs w:val="22"/>
        </w:rPr>
        <w:t xml:space="preserve"> (expressed in milligrams; or both milligrams and millimoles), and</w:t>
      </w:r>
    </w:p>
    <w:p w14:paraId="7FBEF6F7" w14:textId="77777777" w:rsidR="00D31879" w:rsidRDefault="00D31879" w:rsidP="002119B3">
      <w:pPr>
        <w:pStyle w:val="FSBullet1"/>
        <w:numPr>
          <w:ilvl w:val="0"/>
          <w:numId w:val="7"/>
        </w:numPr>
        <w:tabs>
          <w:tab w:val="num" w:pos="567"/>
        </w:tabs>
        <w:ind w:left="567" w:hanging="567"/>
        <w:rPr>
          <w:szCs w:val="22"/>
        </w:rPr>
      </w:pPr>
      <w:r w:rsidRPr="003131FD">
        <w:rPr>
          <w:szCs w:val="22"/>
        </w:rPr>
        <w:t>any other nutrient or biologically active substance</w:t>
      </w:r>
      <w:r>
        <w:rPr>
          <w:rStyle w:val="FootnoteReference"/>
          <w:szCs w:val="22"/>
        </w:rPr>
        <w:footnoteReference w:id="12"/>
      </w:r>
      <w:r w:rsidRPr="003131FD">
        <w:rPr>
          <w:szCs w:val="22"/>
        </w:rPr>
        <w:t xml:space="preserve"> about which </w:t>
      </w:r>
      <w:r w:rsidRPr="006663FA">
        <w:rPr>
          <w:i/>
          <w:szCs w:val="22"/>
        </w:rPr>
        <w:t xml:space="preserve">a claim requiring nutrition information </w:t>
      </w:r>
      <w:r w:rsidRPr="006663FA">
        <w:rPr>
          <w:szCs w:val="22"/>
        </w:rPr>
        <w:t>is made</w:t>
      </w:r>
      <w:r>
        <w:rPr>
          <w:rStyle w:val="FootnoteReference"/>
          <w:i/>
          <w:szCs w:val="22"/>
        </w:rPr>
        <w:footnoteReference w:id="13"/>
      </w:r>
      <w:r w:rsidRPr="003131FD">
        <w:rPr>
          <w:szCs w:val="22"/>
        </w:rPr>
        <w:t>.</w:t>
      </w:r>
    </w:p>
    <w:p w14:paraId="5C156574" w14:textId="77777777" w:rsidR="00D31879" w:rsidRDefault="00D31879" w:rsidP="00D31879">
      <w:pPr>
        <w:rPr>
          <w:lang w:bidi="ar-SA"/>
        </w:rPr>
      </w:pPr>
    </w:p>
    <w:p w14:paraId="3BE1F96B" w14:textId="77777777" w:rsidR="00D31879" w:rsidRDefault="00D31879" w:rsidP="00D31879">
      <w:pPr>
        <w:rPr>
          <w:rFonts w:cs="Arial"/>
          <w:szCs w:val="22"/>
        </w:rPr>
      </w:pPr>
      <w:r>
        <w:rPr>
          <w:rFonts w:cs="Arial"/>
          <w:szCs w:val="22"/>
        </w:rPr>
        <w:t xml:space="preserve">For foods intended to be prepared or consumed with at least one other food, food businesses have the option of including </w:t>
      </w:r>
      <w:r w:rsidRPr="00B601CC">
        <w:rPr>
          <w:rFonts w:cs="Arial"/>
          <w:szCs w:val="22"/>
        </w:rPr>
        <w:t xml:space="preserve">an additional column in </w:t>
      </w:r>
      <w:r>
        <w:rPr>
          <w:rFonts w:cs="Arial"/>
          <w:szCs w:val="22"/>
        </w:rPr>
        <w:t>the NIP</w:t>
      </w:r>
      <w:r w:rsidRPr="00B601CC">
        <w:rPr>
          <w:rFonts w:cs="Arial"/>
          <w:szCs w:val="22"/>
        </w:rPr>
        <w:t xml:space="preserve"> that reflects the food prepa</w:t>
      </w:r>
      <w:r>
        <w:rPr>
          <w:rFonts w:cs="Arial"/>
          <w:szCs w:val="22"/>
        </w:rPr>
        <w:t xml:space="preserve">red with other intended foods (clause 11 of Standard 1.2.8). However if a claim requiring nutrition information is made about a food that is required to be prepared or consumed with at least one other food, the NIP must include this additional column. The heading for the additional column </w:t>
      </w:r>
      <w:r w:rsidRPr="00B601CC">
        <w:rPr>
          <w:rFonts w:cs="Arial"/>
          <w:szCs w:val="22"/>
        </w:rPr>
        <w:t>outline</w:t>
      </w:r>
      <w:r>
        <w:rPr>
          <w:rFonts w:cs="Arial"/>
          <w:szCs w:val="22"/>
        </w:rPr>
        <w:t>s</w:t>
      </w:r>
      <w:r w:rsidRPr="00B601CC">
        <w:rPr>
          <w:rFonts w:cs="Arial"/>
          <w:szCs w:val="22"/>
        </w:rPr>
        <w:t xml:space="preserve"> what the additional foods are and the quantities o</w:t>
      </w:r>
      <w:r>
        <w:rPr>
          <w:rFonts w:cs="Arial"/>
          <w:szCs w:val="22"/>
        </w:rPr>
        <w:t xml:space="preserve">f these foods. The column </w:t>
      </w:r>
      <w:r w:rsidRPr="00B601CC">
        <w:rPr>
          <w:rFonts w:cs="Arial"/>
          <w:szCs w:val="22"/>
        </w:rPr>
        <w:t>then reflect</w:t>
      </w:r>
      <w:r>
        <w:rPr>
          <w:rFonts w:cs="Arial"/>
          <w:szCs w:val="22"/>
        </w:rPr>
        <w:t>s</w:t>
      </w:r>
      <w:r w:rsidRPr="00B601CC">
        <w:rPr>
          <w:rFonts w:cs="Arial"/>
          <w:szCs w:val="22"/>
        </w:rPr>
        <w:t xml:space="preserve"> the average quantities of </w:t>
      </w:r>
      <w:r>
        <w:rPr>
          <w:rFonts w:cs="Arial"/>
          <w:szCs w:val="22"/>
        </w:rPr>
        <w:t xml:space="preserve">energy and </w:t>
      </w:r>
      <w:r w:rsidRPr="00B601CC">
        <w:rPr>
          <w:rFonts w:cs="Arial"/>
          <w:szCs w:val="22"/>
        </w:rPr>
        <w:t>nutrients in the food made up with the oth</w:t>
      </w:r>
      <w:r>
        <w:rPr>
          <w:rFonts w:cs="Arial"/>
          <w:szCs w:val="22"/>
        </w:rPr>
        <w:t>er intended foods. It is at the</w:t>
      </w:r>
      <w:r w:rsidRPr="00B601CC">
        <w:rPr>
          <w:rFonts w:cs="Arial"/>
          <w:szCs w:val="22"/>
        </w:rPr>
        <w:t xml:space="preserve"> discretion</w:t>
      </w:r>
      <w:r>
        <w:rPr>
          <w:rFonts w:cs="Arial"/>
          <w:szCs w:val="22"/>
        </w:rPr>
        <w:t xml:space="preserve"> of the food business</w:t>
      </w:r>
      <w:r w:rsidRPr="00B601CC">
        <w:rPr>
          <w:rFonts w:cs="Arial"/>
          <w:szCs w:val="22"/>
        </w:rPr>
        <w:t xml:space="preserve"> whether th</w:t>
      </w:r>
      <w:r>
        <w:rPr>
          <w:rFonts w:cs="Arial"/>
          <w:szCs w:val="22"/>
        </w:rPr>
        <w:t>is column is displayed per serving</w:t>
      </w:r>
      <w:r w:rsidRPr="00B601CC">
        <w:rPr>
          <w:rFonts w:cs="Arial"/>
          <w:szCs w:val="22"/>
        </w:rPr>
        <w:t xml:space="preserve"> or per 100 g or 100 mL.</w:t>
      </w:r>
    </w:p>
    <w:p w14:paraId="672A5563" w14:textId="77777777" w:rsidR="00D31879" w:rsidRDefault="00D31879" w:rsidP="00D31879">
      <w:pPr>
        <w:rPr>
          <w:rFonts w:cs="Arial"/>
          <w:szCs w:val="22"/>
        </w:rPr>
      </w:pPr>
    </w:p>
    <w:p w14:paraId="5E1A96CC" w14:textId="77777777" w:rsidR="00D31879" w:rsidRDefault="00D31879" w:rsidP="00D31879">
      <w:r>
        <w:rPr>
          <w:rFonts w:cs="Arial"/>
          <w:szCs w:val="22"/>
        </w:rPr>
        <w:t>There</w:t>
      </w:r>
      <w:r w:rsidRPr="00F26215">
        <w:rPr>
          <w:rFonts w:cs="Arial"/>
          <w:szCs w:val="22"/>
        </w:rPr>
        <w:t xml:space="preserve"> are </w:t>
      </w:r>
      <w:r>
        <w:rPr>
          <w:rFonts w:cs="Arial"/>
          <w:szCs w:val="22"/>
        </w:rPr>
        <w:t xml:space="preserve">additional information requirements </w:t>
      </w:r>
      <w:r w:rsidRPr="00F26215">
        <w:rPr>
          <w:rFonts w:cs="Arial"/>
          <w:szCs w:val="22"/>
        </w:rPr>
        <w:t xml:space="preserve">in </w:t>
      </w:r>
      <w:r>
        <w:rPr>
          <w:rFonts w:cs="Arial"/>
          <w:szCs w:val="22"/>
        </w:rPr>
        <w:t xml:space="preserve">Standard 1.2.7 – Nutrition, Health and Related Claims and </w:t>
      </w:r>
      <w:r w:rsidRPr="00F26215">
        <w:rPr>
          <w:rFonts w:cs="Arial"/>
          <w:szCs w:val="22"/>
        </w:rPr>
        <w:t xml:space="preserve">Standard 1.2.8 associated with making nutrition </w:t>
      </w:r>
      <w:r>
        <w:rPr>
          <w:rFonts w:cs="Arial"/>
          <w:szCs w:val="22"/>
        </w:rPr>
        <w:t xml:space="preserve">content </w:t>
      </w:r>
      <w:r w:rsidRPr="00F26215">
        <w:rPr>
          <w:rFonts w:cs="Arial"/>
          <w:szCs w:val="22"/>
        </w:rPr>
        <w:t xml:space="preserve">claims </w:t>
      </w:r>
      <w:r>
        <w:rPr>
          <w:rFonts w:cs="Arial"/>
          <w:szCs w:val="22"/>
        </w:rPr>
        <w:t xml:space="preserve">and health claims </w:t>
      </w:r>
      <w:r w:rsidRPr="00F26215">
        <w:rPr>
          <w:rFonts w:cs="Arial"/>
          <w:szCs w:val="22"/>
        </w:rPr>
        <w:t>about</w:t>
      </w:r>
      <w:r>
        <w:rPr>
          <w:rFonts w:cs="Arial"/>
          <w:szCs w:val="22"/>
        </w:rPr>
        <w:t xml:space="preserve"> </w:t>
      </w:r>
      <w:r>
        <w:t xml:space="preserve">specific nutrients. For example, </w:t>
      </w:r>
      <w:r>
        <w:rPr>
          <w:rFonts w:cs="Arial"/>
          <w:color w:val="000000"/>
          <w:szCs w:val="22"/>
        </w:rPr>
        <w:t>i</w:t>
      </w:r>
      <w:r w:rsidRPr="00EE6512">
        <w:rPr>
          <w:rFonts w:cs="Arial"/>
          <w:color w:val="000000"/>
          <w:szCs w:val="22"/>
        </w:rPr>
        <w:t xml:space="preserve">f a claim </w:t>
      </w:r>
      <w:r>
        <w:rPr>
          <w:rFonts w:cs="Arial"/>
          <w:color w:val="000000"/>
          <w:szCs w:val="22"/>
        </w:rPr>
        <w:t xml:space="preserve">requiring nutrition information is made </w:t>
      </w:r>
      <w:r w:rsidRPr="00EE6512">
        <w:rPr>
          <w:rFonts w:cs="Arial"/>
          <w:color w:val="000000"/>
          <w:szCs w:val="22"/>
        </w:rPr>
        <w:t xml:space="preserve">about polyunsaturated fatty acids or monounsaturated fatty acids, </w:t>
      </w:r>
      <w:r>
        <w:rPr>
          <w:rFonts w:cs="Arial"/>
          <w:color w:val="000000"/>
          <w:szCs w:val="22"/>
        </w:rPr>
        <w:t xml:space="preserve">the NIP must include declarations of the content of </w:t>
      </w:r>
      <w:r w:rsidRPr="00EE6512">
        <w:rPr>
          <w:rFonts w:cs="Arial"/>
          <w:color w:val="000000"/>
          <w:szCs w:val="22"/>
        </w:rPr>
        <w:t xml:space="preserve">trans, polyunsaturated and monounsaturated fatty acids, in addition to </w:t>
      </w:r>
      <w:r>
        <w:rPr>
          <w:rFonts w:cs="Arial"/>
          <w:color w:val="000000"/>
          <w:szCs w:val="22"/>
        </w:rPr>
        <w:t xml:space="preserve">a declaration of </w:t>
      </w:r>
      <w:r w:rsidRPr="00EE6512">
        <w:rPr>
          <w:rFonts w:cs="Arial"/>
          <w:color w:val="000000"/>
          <w:szCs w:val="22"/>
        </w:rPr>
        <w:t xml:space="preserve">energy </w:t>
      </w:r>
      <w:r>
        <w:rPr>
          <w:rFonts w:cs="Arial"/>
          <w:color w:val="000000"/>
          <w:szCs w:val="22"/>
        </w:rPr>
        <w:t xml:space="preserve">content </w:t>
      </w:r>
      <w:r w:rsidRPr="00EE6512">
        <w:rPr>
          <w:rFonts w:cs="Arial"/>
          <w:color w:val="000000"/>
          <w:szCs w:val="22"/>
        </w:rPr>
        <w:t xml:space="preserve">and the </w:t>
      </w:r>
      <w:r>
        <w:rPr>
          <w:rFonts w:cs="Arial"/>
          <w:color w:val="000000"/>
          <w:szCs w:val="22"/>
        </w:rPr>
        <w:t xml:space="preserve">quantity of the </w:t>
      </w:r>
      <w:r w:rsidRPr="00EE6512">
        <w:rPr>
          <w:rFonts w:cs="Arial"/>
          <w:color w:val="000000"/>
          <w:szCs w:val="22"/>
        </w:rPr>
        <w:t>six mandatory nutrients</w:t>
      </w:r>
      <w:r>
        <w:rPr>
          <w:rFonts w:cs="Arial"/>
          <w:color w:val="000000"/>
          <w:szCs w:val="22"/>
        </w:rPr>
        <w:t>.</w:t>
      </w:r>
      <w:r>
        <w:t xml:space="preserve"> In all cases, declarations of nutrient content are required per serving and per </w:t>
      </w:r>
    </w:p>
    <w:p w14:paraId="3D17F62A" w14:textId="77777777" w:rsidR="00D31879" w:rsidRDefault="00D31879" w:rsidP="00D31879">
      <w:r>
        <w:t>100 g/100 mL.</w:t>
      </w:r>
    </w:p>
    <w:p w14:paraId="5B4B6BDE" w14:textId="77777777" w:rsidR="00D31879" w:rsidRDefault="00D31879" w:rsidP="00D31879"/>
    <w:p w14:paraId="77760FD8" w14:textId="77777777" w:rsidR="00D31879" w:rsidRDefault="00D31879" w:rsidP="00D31879">
      <w:r>
        <w:t>Standard 2.6.4 – Formulated Caffeinated Beverages sets out requirements for the declaration of the amount of caffeine and any substances listed in column 1 of the Table to subclause 2(2) where present, on the label. Such declarations are required per serving and per 100 mL and can be adjacent to or following a NIP provided the declarations are clearly distinguished from the NIP.</w:t>
      </w:r>
    </w:p>
    <w:p w14:paraId="39EC5A01" w14:textId="77777777" w:rsidR="00833F9A" w:rsidRDefault="00833F9A" w:rsidP="00D31879"/>
    <w:p w14:paraId="5844344E" w14:textId="77777777" w:rsidR="00D31879" w:rsidRDefault="00D31879" w:rsidP="00D31879">
      <w:r>
        <w:t xml:space="preserve">Health claims and some nutrition content claims are only permitted on foods that meet the Nutrient Profiling Scoring Criterion (NPSC) set out in Standard 1.2.7. There are some </w:t>
      </w:r>
      <w:r w:rsidRPr="00B033AE">
        <w:t>additional labelling requirements for fo</w:t>
      </w:r>
      <w:r>
        <w:t xml:space="preserve">ods that carry claims and are required to meet the </w:t>
      </w:r>
      <w:r w:rsidRPr="00B033AE">
        <w:t xml:space="preserve">NPSC in order to make </w:t>
      </w:r>
      <w:r>
        <w:t>the</w:t>
      </w:r>
      <w:r w:rsidRPr="00B033AE">
        <w:t xml:space="preserve"> claim</w:t>
      </w:r>
      <w:r>
        <w:t>. For example, if a property of food, such as dietary fibre, is relied upon for the food to meet the NPSC, this property and the amount of this property of food per serving and per 100 g/100 mL must be declared in the NIP.</w:t>
      </w:r>
    </w:p>
    <w:p w14:paraId="4B977897" w14:textId="77777777" w:rsidR="00D31879" w:rsidRDefault="00D31879" w:rsidP="00D31879"/>
    <w:p w14:paraId="0CFA140C" w14:textId="77777777" w:rsidR="00D31879" w:rsidRDefault="00D31879" w:rsidP="00D31879">
      <w:pPr>
        <w:rPr>
          <w:rFonts w:cs="Arial"/>
          <w:color w:val="000000"/>
          <w:szCs w:val="22"/>
        </w:rPr>
      </w:pPr>
      <w:r>
        <w:rPr>
          <w:lang w:bidi="ar-SA"/>
        </w:rPr>
        <w:t>Small</w:t>
      </w:r>
      <w:r w:rsidRPr="00B601CC">
        <w:rPr>
          <w:rFonts w:cs="Arial"/>
          <w:szCs w:val="22"/>
        </w:rPr>
        <w:t xml:space="preserve"> packages</w:t>
      </w:r>
      <w:r>
        <w:rPr>
          <w:rStyle w:val="FootnoteReference"/>
          <w:rFonts w:cs="Arial"/>
          <w:szCs w:val="22"/>
        </w:rPr>
        <w:footnoteReference w:id="14"/>
      </w:r>
      <w:r w:rsidRPr="00B601CC">
        <w:rPr>
          <w:rFonts w:cs="Arial"/>
          <w:szCs w:val="22"/>
        </w:rPr>
        <w:t xml:space="preserve"> are exempt from including a </w:t>
      </w:r>
      <w:r>
        <w:rPr>
          <w:rFonts w:cs="Arial"/>
          <w:szCs w:val="22"/>
        </w:rPr>
        <w:t>NIP</w:t>
      </w:r>
      <w:r w:rsidRPr="00B601CC">
        <w:rPr>
          <w:rFonts w:cs="Arial"/>
          <w:szCs w:val="22"/>
        </w:rPr>
        <w:t xml:space="preserve"> on the label. </w:t>
      </w:r>
      <w:r>
        <w:rPr>
          <w:rFonts w:cs="Arial"/>
          <w:szCs w:val="22"/>
        </w:rPr>
        <w:t xml:space="preserve">However, </w:t>
      </w:r>
      <w:r>
        <w:rPr>
          <w:rFonts w:cs="Arial"/>
          <w:color w:val="000000"/>
          <w:szCs w:val="22"/>
        </w:rPr>
        <w:t>if</w:t>
      </w:r>
      <w:r w:rsidRPr="00A0610D">
        <w:rPr>
          <w:rFonts w:cs="Arial"/>
          <w:color w:val="000000"/>
          <w:szCs w:val="22"/>
        </w:rPr>
        <w:t xml:space="preserve"> a claim requiring nutrition information </w:t>
      </w:r>
      <w:r>
        <w:rPr>
          <w:rFonts w:cs="Arial"/>
          <w:color w:val="000000"/>
          <w:szCs w:val="22"/>
        </w:rPr>
        <w:t xml:space="preserve">is made </w:t>
      </w:r>
      <w:r w:rsidRPr="00BA39A6">
        <w:rPr>
          <w:rFonts w:cs="Arial"/>
          <w:color w:val="000000"/>
          <w:szCs w:val="22"/>
        </w:rPr>
        <w:t xml:space="preserve">on or about a food in a small package, the label must include the </w:t>
      </w:r>
      <w:r>
        <w:rPr>
          <w:rFonts w:cs="Arial"/>
          <w:color w:val="000000"/>
          <w:szCs w:val="22"/>
        </w:rPr>
        <w:t>following information:</w:t>
      </w:r>
    </w:p>
    <w:p w14:paraId="70DFC601" w14:textId="77777777" w:rsidR="00D31879" w:rsidRDefault="00D31879" w:rsidP="00D31879">
      <w:pPr>
        <w:rPr>
          <w:rFonts w:cs="Arial"/>
          <w:color w:val="000000"/>
          <w:szCs w:val="22"/>
        </w:rPr>
      </w:pPr>
    </w:p>
    <w:p w14:paraId="53BC16AA" w14:textId="77777777" w:rsidR="00D31879" w:rsidRDefault="00D31879" w:rsidP="002119B3">
      <w:pPr>
        <w:pStyle w:val="FSBullet1"/>
        <w:numPr>
          <w:ilvl w:val="0"/>
          <w:numId w:val="6"/>
        </w:numPr>
        <w:ind w:left="567" w:hanging="567"/>
      </w:pPr>
      <w:r w:rsidRPr="00D8701B">
        <w:t>serving size</w:t>
      </w:r>
    </w:p>
    <w:p w14:paraId="71BE4CCC" w14:textId="77777777" w:rsidR="00D31879" w:rsidRDefault="00D31879" w:rsidP="002119B3">
      <w:pPr>
        <w:pStyle w:val="FSBullet1"/>
        <w:numPr>
          <w:ilvl w:val="0"/>
          <w:numId w:val="6"/>
        </w:numPr>
        <w:ind w:left="567" w:hanging="567"/>
      </w:pPr>
      <w:r>
        <w:t xml:space="preserve">the </w:t>
      </w:r>
      <w:r w:rsidRPr="00D8701B">
        <w:t>average quan</w:t>
      </w:r>
      <w:r>
        <w:t>tity of energy and the claimed nutrient or biologically active substance present per serving of the food</w:t>
      </w:r>
    </w:p>
    <w:p w14:paraId="2C953488" w14:textId="77777777" w:rsidR="00D31879" w:rsidRPr="00D8701B" w:rsidRDefault="00D31879" w:rsidP="002119B3">
      <w:pPr>
        <w:pStyle w:val="FSBullet1"/>
        <w:numPr>
          <w:ilvl w:val="0"/>
          <w:numId w:val="6"/>
        </w:numPr>
        <w:ind w:left="567" w:hanging="567"/>
      </w:pPr>
      <w:r>
        <w:t>percentage Recommended Dietary Intake (%RDI) contributed by one serving of the food for any vitamin or mineral that a claim requiring nutrition information is made.</w:t>
      </w:r>
    </w:p>
    <w:p w14:paraId="730D19FF" w14:textId="77777777" w:rsidR="00D31879" w:rsidRDefault="00D31879" w:rsidP="00D31879">
      <w:pPr>
        <w:rPr>
          <w:rFonts w:ascii="Garamond" w:hAnsi="Garamond"/>
          <w:color w:val="000000"/>
        </w:rPr>
      </w:pPr>
    </w:p>
    <w:p w14:paraId="58AB4E9C" w14:textId="77777777" w:rsidR="00D31879" w:rsidRDefault="00D31879" w:rsidP="00D31879">
      <w:pPr>
        <w:rPr>
          <w:rFonts w:cs="Arial"/>
          <w:color w:val="000000"/>
          <w:szCs w:val="22"/>
        </w:rPr>
      </w:pPr>
      <w:r>
        <w:rPr>
          <w:rFonts w:cs="Arial"/>
          <w:color w:val="000000"/>
          <w:szCs w:val="22"/>
        </w:rPr>
        <w:t>The Table to subclause 8(3) of Standard 1.2.8 sets out additional labelling requirements where particular claims requiring nutrition information are made about food in a small package. In all cases, declarations of specified nutrients are required per serving.</w:t>
      </w:r>
    </w:p>
    <w:p w14:paraId="3EF3A3FE" w14:textId="77777777" w:rsidR="00D31879" w:rsidRDefault="00D31879" w:rsidP="00D31879">
      <w:pPr>
        <w:pStyle w:val="Heading3"/>
      </w:pPr>
      <w:bookmarkStart w:id="31" w:name="_Toc405365737"/>
      <w:r>
        <w:t>1.3.2</w:t>
      </w:r>
      <w:r>
        <w:tab/>
        <w:t>Requirements for serving size</w:t>
      </w:r>
      <w:bookmarkEnd w:id="31"/>
    </w:p>
    <w:p w14:paraId="23E721A4" w14:textId="77777777" w:rsidR="00D31879" w:rsidRPr="001376CF" w:rsidRDefault="00D31879" w:rsidP="00D31879">
      <w:pPr>
        <w:rPr>
          <w:rFonts w:cs="Arial"/>
        </w:rPr>
      </w:pPr>
      <w:r>
        <w:rPr>
          <w:rFonts w:cs="Arial"/>
        </w:rPr>
        <w:t>A NIP</w:t>
      </w:r>
      <w:r w:rsidRPr="001376CF">
        <w:rPr>
          <w:rFonts w:cs="Arial"/>
        </w:rPr>
        <w:t xml:space="preserve"> must include the </w:t>
      </w:r>
      <w:r>
        <w:rPr>
          <w:rFonts w:cs="Arial"/>
        </w:rPr>
        <w:t xml:space="preserve">average quantity of food in a serving and the </w:t>
      </w:r>
      <w:r w:rsidRPr="001376CF">
        <w:rPr>
          <w:rFonts w:cs="Arial"/>
        </w:rPr>
        <w:t>number of servings of the food in the package</w:t>
      </w:r>
      <w:r>
        <w:rPr>
          <w:rFonts w:cs="Arial"/>
        </w:rPr>
        <w:t>,</w:t>
      </w:r>
      <w:r w:rsidRPr="001376CF">
        <w:rPr>
          <w:rFonts w:cs="Arial"/>
        </w:rPr>
        <w:t xml:space="preserve"> expressed as either:</w:t>
      </w:r>
    </w:p>
    <w:p w14:paraId="7502464C" w14:textId="77777777" w:rsidR="00D31879" w:rsidRPr="001376CF" w:rsidRDefault="00D31879" w:rsidP="00D31879">
      <w:pPr>
        <w:rPr>
          <w:rFonts w:cs="Arial"/>
        </w:rPr>
      </w:pPr>
    </w:p>
    <w:p w14:paraId="734FDAE0" w14:textId="77777777" w:rsidR="00D31879" w:rsidRPr="001376CF" w:rsidRDefault="00D31879" w:rsidP="002119B3">
      <w:pPr>
        <w:pStyle w:val="FSBullet1"/>
        <w:numPr>
          <w:ilvl w:val="0"/>
          <w:numId w:val="7"/>
        </w:numPr>
        <w:tabs>
          <w:tab w:val="num" w:pos="567"/>
        </w:tabs>
        <w:ind w:left="567" w:hanging="567"/>
      </w:pPr>
      <w:r w:rsidRPr="001376CF">
        <w:t>the number of servings of the food, or</w:t>
      </w:r>
    </w:p>
    <w:p w14:paraId="598CBA96" w14:textId="77777777" w:rsidR="00D31879" w:rsidRPr="001376CF" w:rsidRDefault="00D31879" w:rsidP="002119B3">
      <w:pPr>
        <w:pStyle w:val="FSBullet1"/>
        <w:numPr>
          <w:ilvl w:val="0"/>
          <w:numId w:val="7"/>
        </w:numPr>
        <w:tabs>
          <w:tab w:val="num" w:pos="567"/>
        </w:tabs>
        <w:ind w:left="567" w:hanging="567"/>
      </w:pPr>
      <w:r w:rsidRPr="001376CF">
        <w:t xml:space="preserve">where the weight or volume of the packaged </w:t>
      </w:r>
      <w:r>
        <w:t xml:space="preserve">food is variable, </w:t>
      </w:r>
      <w:r w:rsidRPr="001376CF">
        <w:t>the number of servings of the food per kg, or other units</w:t>
      </w:r>
      <w:r>
        <w:t xml:space="preserve"> as appropriate, </w:t>
      </w:r>
      <w:r w:rsidRPr="00B601CC">
        <w:rPr>
          <w:szCs w:val="22"/>
        </w:rPr>
        <w:t>for example, sausages packed onto trays in a supermarket.</w:t>
      </w:r>
    </w:p>
    <w:p w14:paraId="06DEE609" w14:textId="77777777" w:rsidR="00D31879" w:rsidRDefault="00D31879" w:rsidP="00D31879">
      <w:pPr>
        <w:rPr>
          <w:rFonts w:cs="Arial"/>
        </w:rPr>
      </w:pPr>
    </w:p>
    <w:p w14:paraId="302B9D12" w14:textId="77777777" w:rsidR="00D31879" w:rsidRDefault="00D31879" w:rsidP="00D31879">
      <w:pPr>
        <w:rPr>
          <w:rFonts w:cs="Arial"/>
        </w:rPr>
      </w:pPr>
      <w:r w:rsidRPr="00B601CC">
        <w:rPr>
          <w:rFonts w:cs="Arial"/>
        </w:rPr>
        <w:t xml:space="preserve">The word ‘slice’, ‘pack’, or ‘package’ may replace the term ‘serving’. For example, one slice of bread (28 g) may be used to represent a serving. </w:t>
      </w:r>
      <w:r>
        <w:rPr>
          <w:rFonts w:cs="Arial"/>
        </w:rPr>
        <w:t>T</w:t>
      </w:r>
      <w:r w:rsidRPr="00B601CC">
        <w:rPr>
          <w:rFonts w:cs="Arial"/>
        </w:rPr>
        <w:t xml:space="preserve">he word ‘serving’ </w:t>
      </w:r>
      <w:r>
        <w:rPr>
          <w:rFonts w:cs="Arial"/>
        </w:rPr>
        <w:t xml:space="preserve">may also be replaced </w:t>
      </w:r>
      <w:r w:rsidRPr="00B601CC">
        <w:rPr>
          <w:rFonts w:cs="Arial"/>
        </w:rPr>
        <w:t>with any other appropriate word describing a common measure or unit including ‘metric cup’ or ‘metric tablespoon’.</w:t>
      </w:r>
    </w:p>
    <w:p w14:paraId="14357F0D" w14:textId="77777777" w:rsidR="00D31879" w:rsidRDefault="00D31879" w:rsidP="00D31879">
      <w:pPr>
        <w:rPr>
          <w:rFonts w:cs="Arial"/>
        </w:rPr>
      </w:pPr>
    </w:p>
    <w:p w14:paraId="6357E273" w14:textId="77777777" w:rsidR="00D31879" w:rsidRDefault="00D31879" w:rsidP="00D31879">
      <w:pPr>
        <w:rPr>
          <w:rFonts w:cs="Arial"/>
        </w:rPr>
      </w:pPr>
      <w:r w:rsidRPr="00B601CC">
        <w:rPr>
          <w:rFonts w:cs="Arial"/>
        </w:rPr>
        <w:t xml:space="preserve">Clause 5 of Standard 1.2.8 sets out the prescribed format for the </w:t>
      </w:r>
      <w:r>
        <w:rPr>
          <w:rFonts w:cs="Arial"/>
        </w:rPr>
        <w:t>NIP</w:t>
      </w:r>
      <w:r w:rsidRPr="00B601CC">
        <w:rPr>
          <w:rFonts w:cs="Arial"/>
        </w:rPr>
        <w:t xml:space="preserve">.  </w:t>
      </w:r>
    </w:p>
    <w:p w14:paraId="3D972F9E" w14:textId="77777777" w:rsidR="00D31879" w:rsidRPr="00B601CC" w:rsidRDefault="00D31879" w:rsidP="00D31879">
      <w:pPr>
        <w:rPr>
          <w:rFonts w:cs="Arial"/>
        </w:rPr>
      </w:pPr>
    </w:p>
    <w:p w14:paraId="15122BB0" w14:textId="77777777" w:rsidR="00833F9A" w:rsidRDefault="00833F9A">
      <w:pPr>
        <w:widowControl/>
        <w:rPr>
          <w:rFonts w:cs="Arial"/>
        </w:rPr>
      </w:pPr>
      <w:r>
        <w:rPr>
          <w:rFonts w:cs="Arial"/>
        </w:rPr>
        <w:br w:type="page"/>
      </w:r>
    </w:p>
    <w:p w14:paraId="6C0A9211" w14:textId="11CA32F9" w:rsidR="00D31879" w:rsidRPr="00B601CC" w:rsidRDefault="00D31879" w:rsidP="00D31879">
      <w:pPr>
        <w:rPr>
          <w:rFonts w:cs="Arial"/>
        </w:rPr>
      </w:pPr>
      <w:r w:rsidRPr="00B601CC">
        <w:rPr>
          <w:rFonts w:cs="Arial"/>
        </w:rPr>
        <w:lastRenderedPageBreak/>
        <w:t xml:space="preserve">The following is an example of how the </w:t>
      </w:r>
      <w:r>
        <w:rPr>
          <w:rFonts w:cs="Arial"/>
        </w:rPr>
        <w:t>NIP</w:t>
      </w:r>
      <w:r w:rsidRPr="00B601CC">
        <w:rPr>
          <w:rFonts w:cs="Arial"/>
        </w:rPr>
        <w:t xml:space="preserve"> should be set out</w:t>
      </w:r>
      <w:r>
        <w:rPr>
          <w:rFonts w:cs="Arial"/>
        </w:rPr>
        <w:t>.</w:t>
      </w:r>
      <w:r w:rsidRPr="00B601CC">
        <w:rPr>
          <w:rFonts w:cs="Arial"/>
        </w:rPr>
        <w:t xml:space="preserve"> </w:t>
      </w:r>
    </w:p>
    <w:p w14:paraId="6C9295ED" w14:textId="77777777" w:rsidR="00D31879" w:rsidRPr="00B601CC" w:rsidRDefault="00D31879" w:rsidP="00D31879">
      <w:pPr>
        <w:rPr>
          <w:rFonts w:cs="Arial"/>
        </w:rPr>
      </w:pPr>
    </w:p>
    <w:tbl>
      <w:tblPr>
        <w:tblW w:w="0" w:type="auto"/>
        <w:tblInd w:w="1084" w:type="dxa"/>
        <w:tblBorders>
          <w:top w:val="single" w:sz="6" w:space="0" w:color="auto"/>
          <w:left w:val="single" w:sz="6" w:space="0" w:color="auto"/>
          <w:bottom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3220"/>
        <w:gridCol w:w="2116"/>
        <w:gridCol w:w="2176"/>
      </w:tblGrid>
      <w:tr w:rsidR="00D31879" w:rsidRPr="00B601CC" w14:paraId="1CEFC8C5" w14:textId="77777777" w:rsidTr="00E11ED1">
        <w:trPr>
          <w:cantSplit/>
          <w:trHeight w:val="984"/>
        </w:trPr>
        <w:tc>
          <w:tcPr>
            <w:tcW w:w="7512" w:type="dxa"/>
            <w:gridSpan w:val="3"/>
            <w:tcBorders>
              <w:top w:val="single" w:sz="6" w:space="0" w:color="auto"/>
              <w:bottom w:val="single" w:sz="6" w:space="0" w:color="auto"/>
            </w:tcBorders>
          </w:tcPr>
          <w:p w14:paraId="4E8E99C3" w14:textId="77777777" w:rsidR="00D31879" w:rsidRPr="001F0C9A" w:rsidRDefault="00D31879" w:rsidP="00E11ED1">
            <w:pPr>
              <w:keepNext/>
              <w:jc w:val="center"/>
              <w:rPr>
                <w:rFonts w:cs="Arial"/>
                <w:b/>
                <w:bCs/>
                <w:sz w:val="20"/>
              </w:rPr>
            </w:pPr>
            <w:r w:rsidRPr="001F0C9A">
              <w:rPr>
                <w:rFonts w:cs="Arial"/>
                <w:b/>
                <w:bCs/>
                <w:sz w:val="20"/>
              </w:rPr>
              <w:t>NUTRITION INFORMATION</w:t>
            </w:r>
          </w:p>
          <w:p w14:paraId="4FADA0A3" w14:textId="77777777" w:rsidR="00D31879" w:rsidRPr="001F0C9A" w:rsidRDefault="00D31879" w:rsidP="00E11ED1">
            <w:pPr>
              <w:keepNext/>
              <w:rPr>
                <w:rFonts w:cs="Arial"/>
                <w:sz w:val="20"/>
              </w:rPr>
            </w:pPr>
            <w:r w:rsidRPr="001F0C9A">
              <w:rPr>
                <w:rFonts w:cs="Arial"/>
                <w:sz w:val="20"/>
              </w:rPr>
              <w:t>Servings per package: 25</w:t>
            </w:r>
          </w:p>
          <w:p w14:paraId="52F85C0A" w14:textId="77777777" w:rsidR="00D31879" w:rsidRPr="001F0C9A" w:rsidRDefault="00D31879" w:rsidP="00E11ED1">
            <w:pPr>
              <w:keepNext/>
              <w:rPr>
                <w:rFonts w:cs="Arial"/>
                <w:sz w:val="20"/>
              </w:rPr>
            </w:pPr>
            <w:r w:rsidRPr="001F0C9A">
              <w:rPr>
                <w:rFonts w:cs="Arial"/>
                <w:sz w:val="20"/>
              </w:rPr>
              <w:t>Serving size: 15 g</w:t>
            </w:r>
          </w:p>
        </w:tc>
      </w:tr>
      <w:tr w:rsidR="00D31879" w:rsidRPr="00B601CC" w14:paraId="1FCD39B9" w14:textId="77777777" w:rsidTr="00E11ED1">
        <w:trPr>
          <w:cantSplit/>
        </w:trPr>
        <w:tc>
          <w:tcPr>
            <w:tcW w:w="3220" w:type="dxa"/>
            <w:tcBorders>
              <w:top w:val="single" w:sz="6" w:space="0" w:color="auto"/>
              <w:bottom w:val="single" w:sz="4" w:space="0" w:color="auto"/>
            </w:tcBorders>
          </w:tcPr>
          <w:p w14:paraId="35F5FEF1" w14:textId="77777777" w:rsidR="00D31879" w:rsidRPr="001F0C9A" w:rsidRDefault="00D31879" w:rsidP="00E11ED1">
            <w:pPr>
              <w:keepNext/>
              <w:rPr>
                <w:rFonts w:cs="Arial"/>
                <w:sz w:val="20"/>
              </w:rPr>
            </w:pPr>
          </w:p>
        </w:tc>
        <w:tc>
          <w:tcPr>
            <w:tcW w:w="2116" w:type="dxa"/>
            <w:tcBorders>
              <w:top w:val="single" w:sz="6" w:space="0" w:color="auto"/>
              <w:bottom w:val="single" w:sz="4" w:space="0" w:color="auto"/>
            </w:tcBorders>
          </w:tcPr>
          <w:p w14:paraId="39422111" w14:textId="77777777" w:rsidR="00D31879" w:rsidRPr="001F0C9A" w:rsidRDefault="00D31879" w:rsidP="00E11ED1">
            <w:pPr>
              <w:keepNext/>
              <w:rPr>
                <w:rFonts w:cs="Arial"/>
                <w:sz w:val="20"/>
              </w:rPr>
            </w:pPr>
            <w:r w:rsidRPr="001F0C9A">
              <w:rPr>
                <w:rFonts w:cs="Arial"/>
                <w:sz w:val="20"/>
              </w:rPr>
              <w:t>Average Quantity per Serving</w:t>
            </w:r>
          </w:p>
        </w:tc>
        <w:tc>
          <w:tcPr>
            <w:tcW w:w="2176" w:type="dxa"/>
            <w:tcBorders>
              <w:top w:val="single" w:sz="6" w:space="0" w:color="auto"/>
              <w:bottom w:val="single" w:sz="4" w:space="0" w:color="auto"/>
            </w:tcBorders>
          </w:tcPr>
          <w:p w14:paraId="38FB67E3" w14:textId="77777777" w:rsidR="00D31879" w:rsidRPr="001F0C9A" w:rsidRDefault="00D31879" w:rsidP="00E11ED1">
            <w:pPr>
              <w:keepNext/>
              <w:rPr>
                <w:rFonts w:cs="Arial"/>
                <w:sz w:val="20"/>
              </w:rPr>
            </w:pPr>
            <w:r w:rsidRPr="001F0C9A">
              <w:rPr>
                <w:rFonts w:cs="Arial"/>
                <w:sz w:val="20"/>
              </w:rPr>
              <w:t>Average Quantity per 100 g</w:t>
            </w:r>
          </w:p>
        </w:tc>
      </w:tr>
      <w:tr w:rsidR="00D31879" w:rsidRPr="00B601CC" w14:paraId="5E2BBDAD" w14:textId="77777777" w:rsidTr="00E11ED1">
        <w:trPr>
          <w:cantSplit/>
        </w:trPr>
        <w:tc>
          <w:tcPr>
            <w:tcW w:w="3220" w:type="dxa"/>
            <w:tcBorders>
              <w:top w:val="single" w:sz="4" w:space="0" w:color="auto"/>
            </w:tcBorders>
          </w:tcPr>
          <w:p w14:paraId="1F2C21E9" w14:textId="77777777" w:rsidR="00D31879" w:rsidRPr="001F0C9A" w:rsidRDefault="00D31879" w:rsidP="00E11ED1">
            <w:pPr>
              <w:keepNext/>
              <w:rPr>
                <w:rFonts w:cs="Arial"/>
                <w:sz w:val="20"/>
              </w:rPr>
            </w:pPr>
            <w:r w:rsidRPr="001F0C9A">
              <w:rPr>
                <w:rFonts w:cs="Arial"/>
                <w:sz w:val="20"/>
              </w:rPr>
              <w:t>Energy</w:t>
            </w:r>
          </w:p>
          <w:p w14:paraId="7B1DA7DB" w14:textId="77777777" w:rsidR="00D31879" w:rsidRPr="001F0C9A" w:rsidRDefault="00D31879" w:rsidP="00E11ED1">
            <w:pPr>
              <w:keepNext/>
              <w:rPr>
                <w:rFonts w:cs="Arial"/>
                <w:sz w:val="20"/>
              </w:rPr>
            </w:pPr>
          </w:p>
        </w:tc>
        <w:tc>
          <w:tcPr>
            <w:tcW w:w="2116" w:type="dxa"/>
            <w:tcBorders>
              <w:top w:val="single" w:sz="4" w:space="0" w:color="auto"/>
            </w:tcBorders>
          </w:tcPr>
          <w:p w14:paraId="3BBD6FF3" w14:textId="77777777" w:rsidR="00D31879" w:rsidRPr="001F0C9A" w:rsidRDefault="00D31879" w:rsidP="00E11ED1">
            <w:pPr>
              <w:keepNext/>
              <w:rPr>
                <w:rFonts w:cs="Arial"/>
                <w:sz w:val="20"/>
              </w:rPr>
            </w:pPr>
            <w:r w:rsidRPr="001F0C9A">
              <w:rPr>
                <w:rFonts w:cs="Arial"/>
                <w:sz w:val="20"/>
              </w:rPr>
              <w:t>384 kJ</w:t>
            </w:r>
          </w:p>
        </w:tc>
        <w:tc>
          <w:tcPr>
            <w:tcW w:w="2176" w:type="dxa"/>
            <w:tcBorders>
              <w:top w:val="single" w:sz="4" w:space="0" w:color="auto"/>
            </w:tcBorders>
          </w:tcPr>
          <w:p w14:paraId="6D7C8CA0" w14:textId="77777777" w:rsidR="00D31879" w:rsidRPr="001F0C9A" w:rsidRDefault="00D31879" w:rsidP="00E11ED1">
            <w:pPr>
              <w:keepNext/>
              <w:rPr>
                <w:rFonts w:cs="Arial"/>
                <w:sz w:val="20"/>
              </w:rPr>
            </w:pPr>
            <w:r w:rsidRPr="001F0C9A">
              <w:rPr>
                <w:rFonts w:cs="Arial"/>
                <w:sz w:val="20"/>
              </w:rPr>
              <w:t xml:space="preserve">2560 kJ </w:t>
            </w:r>
          </w:p>
        </w:tc>
      </w:tr>
      <w:tr w:rsidR="00D31879" w:rsidRPr="00B601CC" w14:paraId="3305F46C" w14:textId="77777777" w:rsidTr="00E11ED1">
        <w:trPr>
          <w:cantSplit/>
        </w:trPr>
        <w:tc>
          <w:tcPr>
            <w:tcW w:w="3220" w:type="dxa"/>
          </w:tcPr>
          <w:p w14:paraId="4F1870BC" w14:textId="77777777" w:rsidR="00D31879" w:rsidRPr="001F0C9A" w:rsidRDefault="00D31879" w:rsidP="00E11ED1">
            <w:pPr>
              <w:keepNext/>
              <w:rPr>
                <w:rFonts w:cs="Arial"/>
                <w:sz w:val="20"/>
              </w:rPr>
            </w:pPr>
            <w:r w:rsidRPr="001F0C9A">
              <w:rPr>
                <w:rFonts w:cs="Arial"/>
                <w:sz w:val="20"/>
              </w:rPr>
              <w:t>Protein</w:t>
            </w:r>
          </w:p>
          <w:p w14:paraId="77A9C2CC" w14:textId="77777777" w:rsidR="00D31879" w:rsidRPr="001F0C9A" w:rsidRDefault="00D31879" w:rsidP="00E11ED1">
            <w:pPr>
              <w:keepNext/>
              <w:rPr>
                <w:rFonts w:cs="Arial"/>
                <w:sz w:val="20"/>
              </w:rPr>
            </w:pPr>
          </w:p>
        </w:tc>
        <w:tc>
          <w:tcPr>
            <w:tcW w:w="2116" w:type="dxa"/>
          </w:tcPr>
          <w:p w14:paraId="46A2F888" w14:textId="77777777" w:rsidR="00D31879" w:rsidRPr="001F0C9A" w:rsidRDefault="00D31879" w:rsidP="00E11ED1">
            <w:pPr>
              <w:keepNext/>
              <w:rPr>
                <w:rFonts w:cs="Arial"/>
                <w:sz w:val="20"/>
              </w:rPr>
            </w:pPr>
            <w:r w:rsidRPr="001F0C9A">
              <w:rPr>
                <w:rFonts w:cs="Arial"/>
                <w:sz w:val="20"/>
              </w:rPr>
              <w:t>4.4 g</w:t>
            </w:r>
          </w:p>
        </w:tc>
        <w:tc>
          <w:tcPr>
            <w:tcW w:w="2176" w:type="dxa"/>
          </w:tcPr>
          <w:p w14:paraId="75254CF3" w14:textId="77777777" w:rsidR="00D31879" w:rsidRPr="001F0C9A" w:rsidRDefault="00D31879" w:rsidP="00E11ED1">
            <w:pPr>
              <w:keepNext/>
              <w:rPr>
                <w:rFonts w:cs="Arial"/>
                <w:sz w:val="20"/>
              </w:rPr>
            </w:pPr>
            <w:r w:rsidRPr="001F0C9A">
              <w:rPr>
                <w:rFonts w:cs="Arial"/>
                <w:sz w:val="20"/>
              </w:rPr>
              <w:t>29.3 g</w:t>
            </w:r>
          </w:p>
        </w:tc>
      </w:tr>
      <w:tr w:rsidR="00D31879" w:rsidRPr="00B601CC" w14:paraId="0C505631" w14:textId="77777777" w:rsidTr="00E11ED1">
        <w:trPr>
          <w:cantSplit/>
        </w:trPr>
        <w:tc>
          <w:tcPr>
            <w:tcW w:w="3220" w:type="dxa"/>
          </w:tcPr>
          <w:p w14:paraId="067EAD87" w14:textId="77777777" w:rsidR="00D31879" w:rsidRPr="001F0C9A" w:rsidRDefault="00D31879" w:rsidP="00E11ED1">
            <w:pPr>
              <w:keepNext/>
              <w:rPr>
                <w:rFonts w:cs="Arial"/>
                <w:sz w:val="20"/>
              </w:rPr>
            </w:pPr>
            <w:r w:rsidRPr="001F0C9A">
              <w:rPr>
                <w:rFonts w:cs="Arial"/>
                <w:sz w:val="20"/>
              </w:rPr>
              <w:t>Fat, total</w:t>
            </w:r>
            <w:r w:rsidRPr="001F0C9A">
              <w:rPr>
                <w:rFonts w:cs="Arial"/>
                <w:sz w:val="20"/>
              </w:rPr>
              <w:br/>
              <w:t>– saturated</w:t>
            </w:r>
          </w:p>
        </w:tc>
        <w:tc>
          <w:tcPr>
            <w:tcW w:w="2116" w:type="dxa"/>
          </w:tcPr>
          <w:p w14:paraId="44D3C2CC" w14:textId="77777777" w:rsidR="00D31879" w:rsidRPr="001F0C9A" w:rsidRDefault="00D31879" w:rsidP="00E11ED1">
            <w:pPr>
              <w:keepNext/>
              <w:rPr>
                <w:rFonts w:cs="Arial"/>
                <w:sz w:val="20"/>
              </w:rPr>
            </w:pPr>
            <w:r w:rsidRPr="001F0C9A">
              <w:rPr>
                <w:rFonts w:cs="Arial"/>
                <w:sz w:val="20"/>
              </w:rPr>
              <w:t>7.6 g</w:t>
            </w:r>
            <w:r w:rsidRPr="001F0C9A">
              <w:rPr>
                <w:rFonts w:cs="Arial"/>
                <w:sz w:val="20"/>
              </w:rPr>
              <w:br/>
              <w:t>1.5 g</w:t>
            </w:r>
          </w:p>
        </w:tc>
        <w:tc>
          <w:tcPr>
            <w:tcW w:w="2176" w:type="dxa"/>
          </w:tcPr>
          <w:p w14:paraId="0AE4F324" w14:textId="77777777" w:rsidR="00D31879" w:rsidRPr="001F0C9A" w:rsidRDefault="00D31879" w:rsidP="00E11ED1">
            <w:pPr>
              <w:keepNext/>
              <w:rPr>
                <w:rFonts w:cs="Arial"/>
                <w:sz w:val="20"/>
              </w:rPr>
            </w:pPr>
            <w:r w:rsidRPr="001F0C9A">
              <w:rPr>
                <w:rFonts w:cs="Arial"/>
                <w:sz w:val="20"/>
              </w:rPr>
              <w:t>50.7 g</w:t>
            </w:r>
            <w:r w:rsidRPr="001F0C9A">
              <w:rPr>
                <w:rFonts w:cs="Arial"/>
                <w:sz w:val="20"/>
              </w:rPr>
              <w:br/>
              <w:t>10.0 g</w:t>
            </w:r>
          </w:p>
        </w:tc>
      </w:tr>
      <w:tr w:rsidR="00D31879" w:rsidRPr="00B601CC" w14:paraId="509B5601" w14:textId="77777777" w:rsidTr="00E11ED1">
        <w:trPr>
          <w:cantSplit/>
        </w:trPr>
        <w:tc>
          <w:tcPr>
            <w:tcW w:w="3220" w:type="dxa"/>
          </w:tcPr>
          <w:p w14:paraId="01074C6D" w14:textId="77777777" w:rsidR="00D31879" w:rsidRPr="001F0C9A" w:rsidRDefault="00D31879" w:rsidP="00E11ED1">
            <w:pPr>
              <w:keepNext/>
              <w:rPr>
                <w:rFonts w:cs="Arial"/>
                <w:sz w:val="20"/>
              </w:rPr>
            </w:pPr>
            <w:r w:rsidRPr="001F0C9A">
              <w:rPr>
                <w:rFonts w:cs="Arial"/>
                <w:sz w:val="20"/>
              </w:rPr>
              <w:t>Carbohydrate</w:t>
            </w:r>
            <w:r w:rsidRPr="001F0C9A">
              <w:rPr>
                <w:rFonts w:cs="Arial"/>
                <w:sz w:val="20"/>
              </w:rPr>
              <w:br/>
              <w:t xml:space="preserve"> – sugars</w:t>
            </w:r>
          </w:p>
        </w:tc>
        <w:tc>
          <w:tcPr>
            <w:tcW w:w="2116" w:type="dxa"/>
          </w:tcPr>
          <w:p w14:paraId="100BB509" w14:textId="77777777" w:rsidR="00D31879" w:rsidRPr="001F0C9A" w:rsidRDefault="00D31879" w:rsidP="00E11ED1">
            <w:pPr>
              <w:keepNext/>
              <w:rPr>
                <w:rFonts w:cs="Arial"/>
                <w:sz w:val="20"/>
              </w:rPr>
            </w:pPr>
            <w:r w:rsidRPr="001F0C9A">
              <w:rPr>
                <w:rFonts w:cs="Arial"/>
                <w:sz w:val="20"/>
              </w:rPr>
              <w:t>2.0 g</w:t>
            </w:r>
            <w:r w:rsidRPr="001F0C9A">
              <w:rPr>
                <w:rFonts w:cs="Arial"/>
                <w:sz w:val="20"/>
              </w:rPr>
              <w:br/>
              <w:t>0.9 g</w:t>
            </w:r>
          </w:p>
        </w:tc>
        <w:tc>
          <w:tcPr>
            <w:tcW w:w="2176" w:type="dxa"/>
          </w:tcPr>
          <w:p w14:paraId="2C2CE008" w14:textId="77777777" w:rsidR="00D31879" w:rsidRPr="001F0C9A" w:rsidRDefault="00D31879" w:rsidP="00E11ED1">
            <w:pPr>
              <w:keepNext/>
              <w:rPr>
                <w:rFonts w:cs="Arial"/>
                <w:sz w:val="20"/>
              </w:rPr>
            </w:pPr>
            <w:r w:rsidRPr="001F0C9A">
              <w:rPr>
                <w:rFonts w:cs="Arial"/>
                <w:sz w:val="20"/>
              </w:rPr>
              <w:t>13.3 g</w:t>
            </w:r>
            <w:r w:rsidRPr="001F0C9A">
              <w:rPr>
                <w:rFonts w:cs="Arial"/>
                <w:sz w:val="20"/>
              </w:rPr>
              <w:br/>
              <w:t>6.0 g</w:t>
            </w:r>
          </w:p>
        </w:tc>
      </w:tr>
      <w:tr w:rsidR="00D31879" w:rsidRPr="00B601CC" w14:paraId="32CCD017" w14:textId="77777777" w:rsidTr="00E11ED1">
        <w:trPr>
          <w:cantSplit/>
          <w:trHeight w:val="387"/>
        </w:trPr>
        <w:tc>
          <w:tcPr>
            <w:tcW w:w="3220" w:type="dxa"/>
          </w:tcPr>
          <w:p w14:paraId="723F444E" w14:textId="77777777" w:rsidR="00D31879" w:rsidRPr="001F0C9A" w:rsidRDefault="00D31879" w:rsidP="00E11ED1">
            <w:pPr>
              <w:keepNext/>
              <w:rPr>
                <w:rFonts w:cs="Arial"/>
                <w:sz w:val="20"/>
              </w:rPr>
            </w:pPr>
            <w:r w:rsidRPr="001F0C9A">
              <w:rPr>
                <w:rFonts w:cs="Arial"/>
                <w:sz w:val="20"/>
              </w:rPr>
              <w:t>Sodium</w:t>
            </w:r>
          </w:p>
        </w:tc>
        <w:tc>
          <w:tcPr>
            <w:tcW w:w="2116" w:type="dxa"/>
          </w:tcPr>
          <w:p w14:paraId="002C6810" w14:textId="77777777" w:rsidR="00D31879" w:rsidRPr="001F0C9A" w:rsidRDefault="00D31879" w:rsidP="00E11ED1">
            <w:pPr>
              <w:keepNext/>
              <w:rPr>
                <w:rFonts w:cs="Arial"/>
                <w:sz w:val="20"/>
              </w:rPr>
            </w:pPr>
            <w:r w:rsidRPr="001F0C9A">
              <w:rPr>
                <w:rFonts w:cs="Arial"/>
                <w:sz w:val="20"/>
              </w:rPr>
              <w:t xml:space="preserve">41 mg </w:t>
            </w:r>
          </w:p>
        </w:tc>
        <w:tc>
          <w:tcPr>
            <w:tcW w:w="2176" w:type="dxa"/>
          </w:tcPr>
          <w:p w14:paraId="42A0EDBA" w14:textId="77777777" w:rsidR="00D31879" w:rsidRPr="001F0C9A" w:rsidRDefault="00D31879" w:rsidP="00E11ED1">
            <w:pPr>
              <w:keepNext/>
              <w:rPr>
                <w:rFonts w:cs="Arial"/>
                <w:sz w:val="20"/>
              </w:rPr>
            </w:pPr>
            <w:r w:rsidRPr="001F0C9A">
              <w:rPr>
                <w:rFonts w:cs="Arial"/>
                <w:sz w:val="20"/>
              </w:rPr>
              <w:t xml:space="preserve">273 mg </w:t>
            </w:r>
          </w:p>
        </w:tc>
      </w:tr>
    </w:tbl>
    <w:p w14:paraId="7657CA35" w14:textId="77777777" w:rsidR="00D31879" w:rsidRDefault="00D31879" w:rsidP="00D31879">
      <w:pPr>
        <w:rPr>
          <w:rFonts w:cs="Arial"/>
          <w:b/>
        </w:rPr>
      </w:pPr>
    </w:p>
    <w:p w14:paraId="20F55AE0" w14:textId="77777777" w:rsidR="00D31879" w:rsidRPr="00B601CC" w:rsidRDefault="00D31879" w:rsidP="00D31879">
      <w:pPr>
        <w:rPr>
          <w:rFonts w:cs="Arial"/>
        </w:rPr>
      </w:pPr>
      <w:r>
        <w:rPr>
          <w:rFonts w:cs="Arial"/>
        </w:rPr>
        <w:t>Serving sizes are not defined in the Code and t</w:t>
      </w:r>
      <w:r w:rsidRPr="00B601CC">
        <w:rPr>
          <w:rFonts w:cs="Arial"/>
        </w:rPr>
        <w:t xml:space="preserve">he size of the serving used in </w:t>
      </w:r>
      <w:r>
        <w:rPr>
          <w:rFonts w:cs="Arial"/>
        </w:rPr>
        <w:t xml:space="preserve">the NIP </w:t>
      </w:r>
      <w:r w:rsidRPr="00B601CC">
        <w:rPr>
          <w:rFonts w:cs="Arial"/>
        </w:rPr>
        <w:t>is not prescribed</w:t>
      </w:r>
      <w:r>
        <w:rPr>
          <w:rFonts w:cs="Arial"/>
        </w:rPr>
        <w:t xml:space="preserve">. </w:t>
      </w:r>
      <w:r w:rsidRPr="00B601CC">
        <w:rPr>
          <w:rFonts w:cs="Arial"/>
        </w:rPr>
        <w:t>The serving size must be declared in grams (g) if the food is a solid or semi-solid and in millilitres (</w:t>
      </w:r>
      <w:r>
        <w:rPr>
          <w:rFonts w:cs="Arial"/>
        </w:rPr>
        <w:t>mL</w:t>
      </w:r>
      <w:r w:rsidRPr="00B601CC">
        <w:rPr>
          <w:rFonts w:cs="Arial"/>
        </w:rPr>
        <w:t>) if the food is a liquid. The food business determine</w:t>
      </w:r>
      <w:r>
        <w:rPr>
          <w:rFonts w:cs="Arial"/>
        </w:rPr>
        <w:t>s</w:t>
      </w:r>
      <w:r w:rsidRPr="00B601CC">
        <w:rPr>
          <w:rFonts w:cs="Arial"/>
        </w:rPr>
        <w:t xml:space="preserve"> which declaration is appropriate i.e. whether a food is a solid, semi-solid or liquid food. </w:t>
      </w:r>
    </w:p>
    <w:p w14:paraId="7FAC145E" w14:textId="77777777" w:rsidR="00D31879" w:rsidRDefault="00D31879" w:rsidP="00D31879">
      <w:pPr>
        <w:rPr>
          <w:rFonts w:cs="Arial"/>
        </w:rPr>
      </w:pPr>
    </w:p>
    <w:p w14:paraId="079667EB" w14:textId="77777777" w:rsidR="00D31879" w:rsidRDefault="00D31879" w:rsidP="00D31879">
      <w:pPr>
        <w:rPr>
          <w:rFonts w:cs="Arial"/>
        </w:rPr>
      </w:pPr>
      <w:r>
        <w:rPr>
          <w:rFonts w:cs="Arial"/>
        </w:rPr>
        <w:t>The FSANZ user guide for Standard 1.2.8</w:t>
      </w:r>
      <w:r>
        <w:rPr>
          <w:rStyle w:val="FootnoteReference"/>
          <w:rFonts w:cs="Arial"/>
        </w:rPr>
        <w:footnoteReference w:id="15"/>
      </w:r>
      <w:r>
        <w:rPr>
          <w:rFonts w:cs="Arial"/>
        </w:rPr>
        <w:t xml:space="preserve"> makes the following suggestions to assist food businesses to determine serving sizes</w:t>
      </w:r>
      <w:r w:rsidRPr="00B601CC">
        <w:rPr>
          <w:rFonts w:cs="Arial"/>
        </w:rPr>
        <w:t xml:space="preserve">.  </w:t>
      </w:r>
    </w:p>
    <w:p w14:paraId="301D48F6" w14:textId="77777777" w:rsidR="00D31879" w:rsidRDefault="00D31879" w:rsidP="00D31879">
      <w:pPr>
        <w:rPr>
          <w:rFonts w:cs="Arial"/>
        </w:rPr>
      </w:pPr>
    </w:p>
    <w:p w14:paraId="6E84CDBF" w14:textId="77777777" w:rsidR="00D31879" w:rsidRPr="00182C72" w:rsidRDefault="00D31879" w:rsidP="00D31879">
      <w:pPr>
        <w:ind w:left="567"/>
        <w:rPr>
          <w:rFonts w:cs="Arial"/>
          <w:i/>
        </w:rPr>
      </w:pPr>
      <w:r w:rsidRPr="00182C72">
        <w:rPr>
          <w:rFonts w:cs="Arial"/>
          <w:i/>
        </w:rPr>
        <w:t xml:space="preserve">Serving sizes specified by the food business should reflect a realistic portion of the food that a person might normally consume on one eating occasion. Other legislation may be applicable in this case, including that the serving size should not be false, misleading or deceptive, or likely to mislead or deceive. </w:t>
      </w:r>
    </w:p>
    <w:p w14:paraId="77D6040E" w14:textId="77777777" w:rsidR="00D31879" w:rsidRPr="00182C72" w:rsidRDefault="00D31879" w:rsidP="00D31879">
      <w:pPr>
        <w:ind w:left="567"/>
        <w:rPr>
          <w:rFonts w:cs="Arial"/>
          <w:i/>
        </w:rPr>
      </w:pPr>
    </w:p>
    <w:p w14:paraId="68668E09" w14:textId="77777777" w:rsidR="00D31879" w:rsidRPr="00C90FCB" w:rsidRDefault="00D31879" w:rsidP="00D31879">
      <w:pPr>
        <w:ind w:left="567"/>
        <w:rPr>
          <w:rFonts w:cs="Arial"/>
          <w:i/>
        </w:rPr>
      </w:pPr>
      <w:r w:rsidRPr="00182C72">
        <w:rPr>
          <w:rFonts w:cs="Arial"/>
          <w:i/>
        </w:rPr>
        <w:t>If the serving size is equal to 100 g, the two columns are still required to be displayed in the nutrition informat</w:t>
      </w:r>
      <w:r>
        <w:rPr>
          <w:rFonts w:cs="Arial"/>
          <w:i/>
        </w:rPr>
        <w:t>ion panel, namely the ‘per serving</w:t>
      </w:r>
      <w:r w:rsidRPr="00182C72">
        <w:rPr>
          <w:rFonts w:cs="Arial"/>
          <w:i/>
        </w:rPr>
        <w:t xml:space="preserve">’ and ‘per 100 g’ (or per 100 </w:t>
      </w:r>
      <w:r>
        <w:rPr>
          <w:rFonts w:cs="Arial"/>
          <w:i/>
        </w:rPr>
        <w:t>mL</w:t>
      </w:r>
      <w:r w:rsidRPr="00182C72">
        <w:rPr>
          <w:rFonts w:cs="Arial"/>
          <w:i/>
        </w:rPr>
        <w:t>) columns.</w:t>
      </w:r>
    </w:p>
    <w:p w14:paraId="4163E056" w14:textId="77777777" w:rsidR="00D31879" w:rsidRDefault="00D31879" w:rsidP="00D31879">
      <w:pPr>
        <w:pStyle w:val="Heading3"/>
      </w:pPr>
      <w:bookmarkStart w:id="32" w:name="_Toc405365738"/>
      <w:r>
        <w:t>1.3</w:t>
      </w:r>
      <w:r>
        <w:tab/>
        <w:t>Daily intake claims</w:t>
      </w:r>
      <w:bookmarkEnd w:id="32"/>
    </w:p>
    <w:p w14:paraId="2FA220C1" w14:textId="77777777" w:rsidR="00D31879" w:rsidRDefault="00D31879" w:rsidP="00D31879">
      <w:pPr>
        <w:tabs>
          <w:tab w:val="left" w:pos="7088"/>
        </w:tabs>
      </w:pPr>
      <w:r>
        <w:rPr>
          <w:lang w:bidi="ar-SA"/>
        </w:rPr>
        <w:t xml:space="preserve">Recommendation 17 refers to the </w:t>
      </w:r>
      <w:r w:rsidRPr="00C90FCB">
        <w:t>amount of nutrients per serving being</w:t>
      </w:r>
      <w:r w:rsidRPr="00834441">
        <w:rPr>
          <w:i/>
        </w:rPr>
        <w:t xml:space="preserve"> no longer mandatory unless a </w:t>
      </w:r>
      <w:r w:rsidRPr="00C90FCB">
        <w:rPr>
          <w:b/>
          <w:i/>
        </w:rPr>
        <w:t>daily intake claim</w:t>
      </w:r>
      <w:r w:rsidRPr="00834441">
        <w:rPr>
          <w:i/>
        </w:rPr>
        <w:t xml:space="preserve"> is made.</w:t>
      </w:r>
      <w:r>
        <w:rPr>
          <w:i/>
        </w:rPr>
        <w:t xml:space="preserve"> </w:t>
      </w:r>
      <w:r>
        <w:t xml:space="preserve">For the purposes of this project FSANZ assumes that </w:t>
      </w:r>
      <w:r w:rsidRPr="00C90FCB">
        <w:rPr>
          <w:b/>
          <w:i/>
        </w:rPr>
        <w:t>daily intake claim</w:t>
      </w:r>
      <w:r w:rsidRPr="00834441">
        <w:rPr>
          <w:i/>
        </w:rPr>
        <w:t xml:space="preserve"> </w:t>
      </w:r>
      <w:r>
        <w:t xml:space="preserve">refers to </w:t>
      </w:r>
      <w:r w:rsidRPr="006B3310">
        <w:t>both percentage daily intake (%DI)</w:t>
      </w:r>
      <w:r>
        <w:t xml:space="preserve"> information and percentage recommended dietary intake (%RDI) information.</w:t>
      </w:r>
    </w:p>
    <w:p w14:paraId="79CF59F6" w14:textId="77777777" w:rsidR="00D31879" w:rsidRDefault="00D31879" w:rsidP="00D31879">
      <w:pPr>
        <w:pStyle w:val="Heading4"/>
      </w:pPr>
      <w:bookmarkStart w:id="33" w:name="_Toc251760527"/>
      <w:r>
        <w:t>1.3.1</w:t>
      </w:r>
      <w:r>
        <w:tab/>
      </w:r>
      <w:r w:rsidRPr="00096128">
        <w:t xml:space="preserve">Percentage </w:t>
      </w:r>
      <w:r>
        <w:t>daily intake</w:t>
      </w:r>
      <w:r w:rsidRPr="00096128">
        <w:t xml:space="preserve"> information</w:t>
      </w:r>
    </w:p>
    <w:p w14:paraId="22BB2802" w14:textId="77777777" w:rsidR="00D31879" w:rsidRPr="00D73877" w:rsidRDefault="00D31879" w:rsidP="00D31879">
      <w:pPr>
        <w:rPr>
          <w:rFonts w:cs="Arial"/>
          <w:szCs w:val="22"/>
        </w:rPr>
      </w:pPr>
      <w:r>
        <w:t>Percentage daily intake information</w:t>
      </w:r>
      <w:r w:rsidRPr="00096128">
        <w:t xml:space="preserve"> may be voluntarily provided in the </w:t>
      </w:r>
      <w:r>
        <w:t>NIP</w:t>
      </w:r>
      <w:r w:rsidRPr="00096128">
        <w:t>.</w:t>
      </w:r>
      <w:bookmarkEnd w:id="33"/>
      <w:r w:rsidRPr="00096128">
        <w:t xml:space="preserve"> Where such information is provided, there are mandatory requirements governing its use.</w:t>
      </w:r>
      <w:r>
        <w:t xml:space="preserve"> </w:t>
      </w:r>
    </w:p>
    <w:p w14:paraId="00FA8EF3" w14:textId="77777777" w:rsidR="00D31879" w:rsidRDefault="00D31879" w:rsidP="00D31879">
      <w:pPr>
        <w:rPr>
          <w:rFonts w:cs="Arial"/>
          <w:color w:val="000000"/>
          <w:szCs w:val="22"/>
        </w:rPr>
      </w:pPr>
    </w:p>
    <w:p w14:paraId="274AB8ED" w14:textId="2F2AB07E" w:rsidR="00D31879" w:rsidRDefault="00D31879" w:rsidP="00D31879">
      <w:pPr>
        <w:rPr>
          <w:rFonts w:cs="Arial"/>
          <w:szCs w:val="22"/>
        </w:rPr>
      </w:pPr>
      <w:r w:rsidRPr="00190EE5">
        <w:rPr>
          <w:rFonts w:cs="Arial"/>
          <w:szCs w:val="22"/>
        </w:rPr>
        <w:t>Daily intake</w:t>
      </w:r>
      <w:r w:rsidR="00C30339">
        <w:rPr>
          <w:rFonts w:cs="Arial"/>
          <w:szCs w:val="22"/>
        </w:rPr>
        <w:t xml:space="preserve"> (DI)</w:t>
      </w:r>
      <w:r w:rsidRPr="00190EE5">
        <w:rPr>
          <w:rFonts w:cs="Arial"/>
          <w:szCs w:val="22"/>
        </w:rPr>
        <w:t xml:space="preserve"> reference values provide information on the total amount of energy, </w:t>
      </w:r>
      <w:r>
        <w:rPr>
          <w:rFonts w:cs="Arial"/>
          <w:szCs w:val="22"/>
        </w:rPr>
        <w:t>protein, fat, saturated fatty acids, carbohydrate, sugars, dietary fibre</w:t>
      </w:r>
      <w:r w:rsidRPr="00190EE5">
        <w:rPr>
          <w:rFonts w:cs="Arial"/>
          <w:szCs w:val="22"/>
        </w:rPr>
        <w:t xml:space="preserve"> and sodium to be consumed daily by an ‘average’ adult, based on an 8700 kJ diet that is in accordance with national dietary guidelines. Percentage </w:t>
      </w:r>
      <w:r>
        <w:rPr>
          <w:rFonts w:cs="Arial"/>
          <w:szCs w:val="22"/>
        </w:rPr>
        <w:t>DI</w:t>
      </w:r>
      <w:r w:rsidRPr="00190EE5">
        <w:rPr>
          <w:rFonts w:cs="Arial"/>
          <w:szCs w:val="22"/>
        </w:rPr>
        <w:t xml:space="preserve"> information therefore expresses the percentage of the daily intake for </w:t>
      </w:r>
      <w:r>
        <w:rPr>
          <w:rFonts w:cs="Arial"/>
          <w:szCs w:val="22"/>
        </w:rPr>
        <w:t>these particular nutrients and energy</w:t>
      </w:r>
      <w:r w:rsidRPr="00190EE5">
        <w:rPr>
          <w:rFonts w:cs="Arial"/>
          <w:szCs w:val="22"/>
        </w:rPr>
        <w:t xml:space="preserve"> that will be obtained from consuming </w:t>
      </w:r>
      <w:r w:rsidRPr="00190EE5">
        <w:rPr>
          <w:rFonts w:cs="Arial"/>
          <w:szCs w:val="22"/>
        </w:rPr>
        <w:lastRenderedPageBreak/>
        <w:t xml:space="preserve">one serving of the food. Percentage </w:t>
      </w:r>
      <w:r>
        <w:rPr>
          <w:rFonts w:cs="Arial"/>
          <w:szCs w:val="22"/>
        </w:rPr>
        <w:t>DI</w:t>
      </w:r>
      <w:r w:rsidRPr="00190EE5">
        <w:rPr>
          <w:rFonts w:cs="Arial"/>
          <w:szCs w:val="22"/>
        </w:rPr>
        <w:t xml:space="preserve"> values must be calculated using the daily intake reference values stated in the Table to subclause 7(3) of Standard 1.2.8. </w:t>
      </w:r>
    </w:p>
    <w:p w14:paraId="78A51BDC" w14:textId="77777777" w:rsidR="00D31879" w:rsidRDefault="00D31879" w:rsidP="00D31879">
      <w:pPr>
        <w:rPr>
          <w:rFonts w:cs="Arial"/>
          <w:szCs w:val="22"/>
        </w:rPr>
      </w:pPr>
    </w:p>
    <w:p w14:paraId="712AC25D" w14:textId="77777777" w:rsidR="00D31879" w:rsidRDefault="00D31879" w:rsidP="00D31879">
      <w:pPr>
        <w:rPr>
          <w:rFonts w:cs="Arial"/>
          <w:szCs w:val="22"/>
        </w:rPr>
      </w:pPr>
      <w:r w:rsidRPr="00190EE5">
        <w:rPr>
          <w:rFonts w:cs="Arial"/>
          <w:szCs w:val="22"/>
        </w:rPr>
        <w:t xml:space="preserve">Percentage </w:t>
      </w:r>
      <w:r>
        <w:rPr>
          <w:rFonts w:cs="Arial"/>
          <w:szCs w:val="22"/>
        </w:rPr>
        <w:t>DI</w:t>
      </w:r>
      <w:r w:rsidRPr="00190EE5">
        <w:rPr>
          <w:rFonts w:cs="Arial"/>
          <w:szCs w:val="22"/>
        </w:rPr>
        <w:t xml:space="preserve"> information differs from </w:t>
      </w:r>
      <w:r>
        <w:rPr>
          <w:rFonts w:cs="Arial"/>
          <w:szCs w:val="22"/>
        </w:rPr>
        <w:t>%</w:t>
      </w:r>
      <w:r w:rsidRPr="00190EE5">
        <w:rPr>
          <w:rFonts w:cs="Arial"/>
          <w:szCs w:val="22"/>
        </w:rPr>
        <w:t>RDI information which specifically app</w:t>
      </w:r>
      <w:r>
        <w:rPr>
          <w:rFonts w:cs="Arial"/>
          <w:szCs w:val="22"/>
        </w:rPr>
        <w:t xml:space="preserve">lies to vitamins and minerals. </w:t>
      </w:r>
    </w:p>
    <w:p w14:paraId="106F608D" w14:textId="77777777" w:rsidR="00D31879" w:rsidRDefault="00D31879" w:rsidP="00D31879">
      <w:pPr>
        <w:rPr>
          <w:rFonts w:cs="Arial"/>
          <w:szCs w:val="22"/>
        </w:rPr>
      </w:pPr>
    </w:p>
    <w:p w14:paraId="1BD7B0F4" w14:textId="77777777" w:rsidR="00D31879" w:rsidRPr="00190EE5" w:rsidRDefault="00D31879" w:rsidP="00D31879">
      <w:pPr>
        <w:rPr>
          <w:rFonts w:cs="Arial"/>
          <w:szCs w:val="22"/>
        </w:rPr>
      </w:pPr>
      <w:r>
        <w:rPr>
          <w:rFonts w:cs="Arial"/>
          <w:szCs w:val="22"/>
        </w:rPr>
        <w:t>Where %</w:t>
      </w:r>
      <w:r w:rsidRPr="00190EE5">
        <w:rPr>
          <w:rFonts w:cs="Arial"/>
          <w:szCs w:val="22"/>
        </w:rPr>
        <w:t xml:space="preserve">DI values are displayed in </w:t>
      </w:r>
      <w:r>
        <w:rPr>
          <w:rFonts w:cs="Arial"/>
          <w:szCs w:val="22"/>
        </w:rPr>
        <w:t>the NIP</w:t>
      </w:r>
      <w:r w:rsidRPr="00190EE5">
        <w:rPr>
          <w:rFonts w:cs="Arial"/>
          <w:szCs w:val="22"/>
        </w:rPr>
        <w:t xml:space="preserve">, </w:t>
      </w:r>
      <w:r>
        <w:rPr>
          <w:rFonts w:cs="Arial"/>
          <w:szCs w:val="22"/>
        </w:rPr>
        <w:t>the</w:t>
      </w:r>
      <w:r w:rsidRPr="00190EE5">
        <w:rPr>
          <w:rFonts w:cs="Arial"/>
          <w:szCs w:val="22"/>
        </w:rPr>
        <w:t xml:space="preserve"> %DI for energy, protein, fat, saturated fatty acids, carbohydrate, sugars, and sodium provided by the food</w:t>
      </w:r>
      <w:r>
        <w:rPr>
          <w:rFonts w:cs="Arial"/>
          <w:szCs w:val="22"/>
        </w:rPr>
        <w:t xml:space="preserve"> must all be included</w:t>
      </w:r>
      <w:r w:rsidRPr="00190EE5">
        <w:rPr>
          <w:rFonts w:cs="Arial"/>
          <w:szCs w:val="22"/>
        </w:rPr>
        <w:t xml:space="preserve">. It is at the discretion of the food business whether %DI for dietary fibre is included. </w:t>
      </w:r>
    </w:p>
    <w:p w14:paraId="3CAC4F2A" w14:textId="77777777" w:rsidR="00D31879" w:rsidRPr="00190EE5" w:rsidRDefault="00D31879" w:rsidP="00D31879">
      <w:pPr>
        <w:rPr>
          <w:rFonts w:cs="Arial"/>
          <w:szCs w:val="22"/>
        </w:rPr>
      </w:pPr>
    </w:p>
    <w:p w14:paraId="3965E5E2" w14:textId="77777777" w:rsidR="00D31879" w:rsidRPr="00190EE5" w:rsidRDefault="00D31879" w:rsidP="00D31879">
      <w:pPr>
        <w:rPr>
          <w:rFonts w:cs="Arial"/>
          <w:szCs w:val="22"/>
        </w:rPr>
      </w:pPr>
      <w:r>
        <w:rPr>
          <w:rFonts w:cs="Arial"/>
          <w:szCs w:val="22"/>
        </w:rPr>
        <w:t>Either of t</w:t>
      </w:r>
      <w:r w:rsidRPr="00190EE5">
        <w:rPr>
          <w:rFonts w:cs="Arial"/>
          <w:szCs w:val="22"/>
        </w:rPr>
        <w:t>he following statement</w:t>
      </w:r>
      <w:r>
        <w:rPr>
          <w:rFonts w:cs="Arial"/>
          <w:szCs w:val="22"/>
        </w:rPr>
        <w:t>s</w:t>
      </w:r>
      <w:r w:rsidRPr="00190EE5">
        <w:rPr>
          <w:rFonts w:cs="Arial"/>
          <w:szCs w:val="22"/>
        </w:rPr>
        <w:t xml:space="preserve"> must also be included in </w:t>
      </w:r>
      <w:r>
        <w:rPr>
          <w:rFonts w:cs="Arial"/>
          <w:szCs w:val="22"/>
        </w:rPr>
        <w:t>the NIP</w:t>
      </w:r>
      <w:r w:rsidRPr="00190EE5">
        <w:rPr>
          <w:rFonts w:cs="Arial"/>
          <w:szCs w:val="22"/>
        </w:rPr>
        <w:t xml:space="preserve"> where %DI values are included: </w:t>
      </w:r>
    </w:p>
    <w:p w14:paraId="1530F0F6" w14:textId="77777777" w:rsidR="00D31879" w:rsidRPr="00190EE5" w:rsidRDefault="00D31879" w:rsidP="00D31879">
      <w:pPr>
        <w:rPr>
          <w:rFonts w:cs="Arial"/>
          <w:szCs w:val="22"/>
        </w:rPr>
      </w:pPr>
    </w:p>
    <w:p w14:paraId="1198C963" w14:textId="77777777" w:rsidR="00D31879" w:rsidRPr="00190EE5" w:rsidRDefault="00D31879" w:rsidP="00D31879">
      <w:pPr>
        <w:ind w:left="567"/>
        <w:rPr>
          <w:rFonts w:cs="Arial"/>
          <w:szCs w:val="22"/>
        </w:rPr>
      </w:pPr>
      <w:r>
        <w:rPr>
          <w:rFonts w:cs="Arial"/>
          <w:szCs w:val="22"/>
        </w:rPr>
        <w:t>‘based on an average adult diet of 8700 kJ’</w:t>
      </w:r>
      <w:r w:rsidRPr="00190EE5">
        <w:rPr>
          <w:rFonts w:cs="Arial"/>
          <w:szCs w:val="22"/>
        </w:rPr>
        <w:t xml:space="preserve"> </w:t>
      </w:r>
    </w:p>
    <w:p w14:paraId="2D72A166" w14:textId="77777777" w:rsidR="00D31879" w:rsidRPr="00D73877" w:rsidRDefault="00D31879" w:rsidP="00D31879">
      <w:pPr>
        <w:ind w:left="567"/>
        <w:rPr>
          <w:rFonts w:cs="Arial"/>
          <w:szCs w:val="22"/>
        </w:rPr>
      </w:pPr>
      <w:r>
        <w:rPr>
          <w:rFonts w:cs="Arial"/>
          <w:szCs w:val="22"/>
        </w:rPr>
        <w:t>‘</w:t>
      </w:r>
      <w:r w:rsidRPr="00190EE5">
        <w:rPr>
          <w:rFonts w:cs="Arial"/>
          <w:szCs w:val="22"/>
        </w:rPr>
        <w:t>Percentage daily intakes are based on an average adult diet of 8700 kJ.’</w:t>
      </w:r>
    </w:p>
    <w:p w14:paraId="21A69601" w14:textId="77777777" w:rsidR="00D31879" w:rsidRDefault="00D31879" w:rsidP="00D31879">
      <w:pPr>
        <w:pStyle w:val="Heading4"/>
      </w:pPr>
      <w:r>
        <w:t>1.3.2</w:t>
      </w:r>
      <w:r>
        <w:tab/>
        <w:t>Percentage recommended dietary intake information</w:t>
      </w:r>
    </w:p>
    <w:p w14:paraId="0ED576F0" w14:textId="7B080FA5" w:rsidR="00D31879" w:rsidRDefault="00D31879" w:rsidP="00D31879">
      <w:pPr>
        <w:tabs>
          <w:tab w:val="left" w:pos="7088"/>
        </w:tabs>
        <w:rPr>
          <w:rFonts w:cs="Arial"/>
          <w:color w:val="000000"/>
          <w:szCs w:val="22"/>
        </w:rPr>
      </w:pPr>
      <w:r w:rsidRPr="00BA139D">
        <w:rPr>
          <w:rFonts w:cs="Arial"/>
          <w:color w:val="000000"/>
          <w:szCs w:val="22"/>
        </w:rPr>
        <w:t>Percentage RDI</w:t>
      </w:r>
      <w:r>
        <w:rPr>
          <w:rFonts w:cs="Arial"/>
          <w:color w:val="000000"/>
          <w:szCs w:val="22"/>
        </w:rPr>
        <w:t xml:space="preserve"> information must be provided in the NIP if a claim requiring nutrition information is made about a vitamin or mineral that has an RDI listed in the Code. </w:t>
      </w:r>
      <w:r w:rsidRPr="00190EE5">
        <w:rPr>
          <w:rFonts w:cs="Arial"/>
          <w:szCs w:val="22"/>
        </w:rPr>
        <w:t xml:space="preserve">Percentage </w:t>
      </w:r>
      <w:r>
        <w:rPr>
          <w:rFonts w:cs="Arial"/>
          <w:szCs w:val="22"/>
        </w:rPr>
        <w:t>RDI</w:t>
      </w:r>
      <w:r w:rsidRPr="00190EE5">
        <w:rPr>
          <w:rFonts w:cs="Arial"/>
          <w:szCs w:val="22"/>
        </w:rPr>
        <w:t xml:space="preserve"> information expresses the percentage of the </w:t>
      </w:r>
      <w:r>
        <w:rPr>
          <w:rFonts w:cs="Arial"/>
          <w:szCs w:val="22"/>
        </w:rPr>
        <w:t>RDI of</w:t>
      </w:r>
      <w:r w:rsidRPr="00190EE5">
        <w:rPr>
          <w:rFonts w:cs="Arial"/>
          <w:szCs w:val="22"/>
        </w:rPr>
        <w:t xml:space="preserve"> </w:t>
      </w:r>
      <w:r>
        <w:rPr>
          <w:rFonts w:cs="Arial"/>
          <w:szCs w:val="22"/>
        </w:rPr>
        <w:t>certain vitamins and minerals</w:t>
      </w:r>
      <w:r w:rsidRPr="00190EE5">
        <w:rPr>
          <w:rFonts w:cs="Arial"/>
          <w:szCs w:val="22"/>
        </w:rPr>
        <w:t xml:space="preserve"> that will be obtained from consuming one serving of the</w:t>
      </w:r>
      <w:r>
        <w:rPr>
          <w:rFonts w:cs="Arial"/>
          <w:szCs w:val="22"/>
        </w:rPr>
        <w:t xml:space="preserve"> food. This information is required irrespective of whether %DI information is voluntarily included and is not required to be declared per 100 g/</w:t>
      </w:r>
      <w:r w:rsidR="00B13342">
        <w:rPr>
          <w:rFonts w:cs="Arial"/>
          <w:szCs w:val="22"/>
        </w:rPr>
        <w:t xml:space="preserve">100 </w:t>
      </w:r>
      <w:r>
        <w:rPr>
          <w:rFonts w:cs="Arial"/>
          <w:szCs w:val="22"/>
        </w:rPr>
        <w:t xml:space="preserve">mL. </w:t>
      </w:r>
      <w:r>
        <w:rPr>
          <w:rFonts w:cs="Arial"/>
          <w:color w:val="000000"/>
          <w:szCs w:val="22"/>
        </w:rPr>
        <w:t xml:space="preserve">The vitamins and minerals </w:t>
      </w:r>
      <w:r w:rsidRPr="008660C6">
        <w:rPr>
          <w:rFonts w:cs="Arial"/>
          <w:color w:val="000000"/>
          <w:szCs w:val="22"/>
        </w:rPr>
        <w:t>with (regulatory) RDIs are listed in the Schedule to Standard 1.1.1</w:t>
      </w:r>
      <w:r>
        <w:rPr>
          <w:rFonts w:cs="Arial"/>
          <w:color w:val="000000"/>
          <w:szCs w:val="22"/>
        </w:rPr>
        <w:t xml:space="preserve"> – Preliminary Provisions – Application, Interpretation and General Prohibitions</w:t>
      </w:r>
      <w:r w:rsidRPr="008660C6">
        <w:rPr>
          <w:rFonts w:cs="Arial"/>
          <w:color w:val="000000"/>
          <w:szCs w:val="22"/>
        </w:rPr>
        <w:t>.</w:t>
      </w:r>
      <w:r>
        <w:rPr>
          <w:rFonts w:cs="Arial"/>
          <w:color w:val="000000"/>
          <w:szCs w:val="22"/>
        </w:rPr>
        <w:t xml:space="preserve"> </w:t>
      </w:r>
    </w:p>
    <w:p w14:paraId="2E408F1C" w14:textId="77777777" w:rsidR="00D31879" w:rsidRDefault="00D31879" w:rsidP="00D31879">
      <w:pPr>
        <w:tabs>
          <w:tab w:val="left" w:pos="7088"/>
        </w:tabs>
        <w:rPr>
          <w:rFonts w:cs="Arial"/>
          <w:color w:val="000000"/>
          <w:szCs w:val="22"/>
        </w:rPr>
      </w:pPr>
    </w:p>
    <w:p w14:paraId="7DBEE84E" w14:textId="77777777" w:rsidR="00D31879" w:rsidRDefault="00D31879" w:rsidP="00D31879">
      <w:pPr>
        <w:tabs>
          <w:tab w:val="left" w:pos="7088"/>
        </w:tabs>
        <w:rPr>
          <w:rFonts w:cs="Arial"/>
          <w:color w:val="000000"/>
          <w:szCs w:val="22"/>
        </w:rPr>
      </w:pPr>
      <w:r>
        <w:rPr>
          <w:rFonts w:cs="Arial"/>
          <w:color w:val="000000"/>
          <w:szCs w:val="22"/>
        </w:rPr>
        <w:t>Percentage RDI information is not required for a food for infants (standardised by Standard 2.9.2 – Food for Infants), however, it may voluntarily be provided in the NIP of these foods.</w:t>
      </w:r>
    </w:p>
    <w:p w14:paraId="1FE2EEF3" w14:textId="20767343" w:rsidR="00D31879" w:rsidRDefault="00D31879" w:rsidP="00D31879">
      <w:pPr>
        <w:pStyle w:val="Heading4"/>
      </w:pPr>
      <w:r>
        <w:t>1.3.3</w:t>
      </w:r>
      <w:r>
        <w:tab/>
        <w:t>Presenting %DI and %RDI information in and outside the NIP</w:t>
      </w:r>
    </w:p>
    <w:p w14:paraId="5FF5A86F" w14:textId="77777777" w:rsidR="00D31879" w:rsidRPr="00190EE5" w:rsidRDefault="00D31879" w:rsidP="00D31879">
      <w:pPr>
        <w:rPr>
          <w:rFonts w:cs="Arial"/>
          <w:szCs w:val="22"/>
        </w:rPr>
      </w:pPr>
      <w:r w:rsidRPr="00190EE5">
        <w:rPr>
          <w:rFonts w:cs="Arial"/>
          <w:szCs w:val="22"/>
        </w:rPr>
        <w:t xml:space="preserve">The following is an example of a </w:t>
      </w:r>
      <w:r>
        <w:rPr>
          <w:rFonts w:cs="Arial"/>
          <w:szCs w:val="22"/>
        </w:rPr>
        <w:t>NIP containing %</w:t>
      </w:r>
      <w:r w:rsidRPr="00190EE5">
        <w:rPr>
          <w:rFonts w:cs="Arial"/>
          <w:szCs w:val="22"/>
        </w:rPr>
        <w:t xml:space="preserve">DI </w:t>
      </w:r>
      <w:r>
        <w:rPr>
          <w:rFonts w:cs="Arial"/>
          <w:szCs w:val="22"/>
        </w:rPr>
        <w:t xml:space="preserve">and %RDI </w:t>
      </w:r>
      <w:r w:rsidRPr="00190EE5">
        <w:rPr>
          <w:rFonts w:cs="Arial"/>
          <w:szCs w:val="22"/>
        </w:rPr>
        <w:t>values.</w:t>
      </w:r>
    </w:p>
    <w:p w14:paraId="6E4B8117" w14:textId="77777777" w:rsidR="00D31879" w:rsidRPr="00190EE5" w:rsidRDefault="00D31879" w:rsidP="00D31879">
      <w:pPr>
        <w:rPr>
          <w:rFonts w:cs="Arial"/>
          <w:szCs w:val="22"/>
        </w:rPr>
      </w:pPr>
    </w:p>
    <w:tbl>
      <w:tblPr>
        <w:tblW w:w="8444" w:type="dxa"/>
        <w:tblLayout w:type="fixed"/>
        <w:tblCellMar>
          <w:left w:w="80" w:type="dxa"/>
          <w:right w:w="80" w:type="dxa"/>
        </w:tblCellMar>
        <w:tblLook w:val="0000" w:firstRow="0" w:lastRow="0" w:firstColumn="0" w:lastColumn="0" w:noHBand="0" w:noVBand="0"/>
      </w:tblPr>
      <w:tblGrid>
        <w:gridCol w:w="2670"/>
        <w:gridCol w:w="1440"/>
        <w:gridCol w:w="1985"/>
        <w:gridCol w:w="142"/>
        <w:gridCol w:w="2207"/>
      </w:tblGrid>
      <w:tr w:rsidR="00D31879" w:rsidRPr="00190EE5" w14:paraId="76EC06BF" w14:textId="77777777" w:rsidTr="00E11ED1">
        <w:trPr>
          <w:cantSplit/>
        </w:trPr>
        <w:tc>
          <w:tcPr>
            <w:tcW w:w="8444" w:type="dxa"/>
            <w:gridSpan w:val="5"/>
            <w:tcBorders>
              <w:top w:val="single" w:sz="2" w:space="0" w:color="auto"/>
              <w:left w:val="single" w:sz="2" w:space="0" w:color="auto"/>
              <w:bottom w:val="single" w:sz="2" w:space="0" w:color="auto"/>
              <w:right w:val="single" w:sz="4" w:space="0" w:color="auto"/>
            </w:tcBorders>
          </w:tcPr>
          <w:p w14:paraId="61A4363B" w14:textId="77777777" w:rsidR="00D31879" w:rsidRPr="001F0C9A" w:rsidRDefault="00D31879" w:rsidP="00E11ED1">
            <w:pPr>
              <w:keepNext/>
              <w:jc w:val="center"/>
              <w:rPr>
                <w:rFonts w:cs="Arial"/>
                <w:b/>
                <w:bCs/>
                <w:sz w:val="20"/>
                <w:szCs w:val="22"/>
              </w:rPr>
            </w:pPr>
            <w:r w:rsidRPr="001F0C9A">
              <w:rPr>
                <w:rFonts w:cs="Arial"/>
                <w:b/>
                <w:bCs/>
                <w:sz w:val="20"/>
                <w:szCs w:val="22"/>
              </w:rPr>
              <w:t>NUTRITION INFORMATION</w:t>
            </w:r>
          </w:p>
          <w:p w14:paraId="73C15E68" w14:textId="77777777" w:rsidR="00D31879" w:rsidRPr="001F0C9A" w:rsidRDefault="00D31879" w:rsidP="00E11ED1">
            <w:pPr>
              <w:keepNext/>
              <w:rPr>
                <w:rFonts w:cs="Arial"/>
                <w:sz w:val="20"/>
                <w:szCs w:val="22"/>
              </w:rPr>
            </w:pPr>
            <w:r w:rsidRPr="001F0C9A">
              <w:rPr>
                <w:rFonts w:cs="Arial"/>
                <w:sz w:val="20"/>
                <w:szCs w:val="22"/>
              </w:rPr>
              <w:t>Servings per package: (insert number of servings)</w:t>
            </w:r>
          </w:p>
          <w:p w14:paraId="5C4FA7FA" w14:textId="77777777" w:rsidR="00D31879" w:rsidRPr="001F0C9A" w:rsidRDefault="00D31879" w:rsidP="00E11ED1">
            <w:pPr>
              <w:keepNext/>
              <w:rPr>
                <w:rFonts w:cs="Arial"/>
                <w:sz w:val="20"/>
                <w:szCs w:val="22"/>
              </w:rPr>
            </w:pPr>
            <w:r w:rsidRPr="001F0C9A">
              <w:rPr>
                <w:rFonts w:cs="Arial"/>
                <w:sz w:val="20"/>
                <w:szCs w:val="22"/>
              </w:rPr>
              <w:t>Serving size: g (or mL or other units as appropriate)</w:t>
            </w:r>
          </w:p>
        </w:tc>
      </w:tr>
      <w:tr w:rsidR="00D31879" w:rsidRPr="00190EE5" w14:paraId="13A0BA9E" w14:textId="77777777" w:rsidTr="00E11ED1">
        <w:trPr>
          <w:cantSplit/>
        </w:trPr>
        <w:tc>
          <w:tcPr>
            <w:tcW w:w="2670" w:type="dxa"/>
            <w:tcBorders>
              <w:top w:val="single" w:sz="2" w:space="0" w:color="auto"/>
              <w:left w:val="single" w:sz="2" w:space="0" w:color="auto"/>
              <w:bottom w:val="single" w:sz="4" w:space="0" w:color="auto"/>
            </w:tcBorders>
          </w:tcPr>
          <w:p w14:paraId="57CBC0ED" w14:textId="77777777" w:rsidR="00D31879" w:rsidRPr="00190EE5" w:rsidRDefault="00D31879" w:rsidP="00E11ED1">
            <w:pPr>
              <w:keepNext/>
              <w:rPr>
                <w:rFonts w:cs="Arial"/>
                <w:szCs w:val="22"/>
              </w:rPr>
            </w:pPr>
          </w:p>
        </w:tc>
        <w:tc>
          <w:tcPr>
            <w:tcW w:w="1440" w:type="dxa"/>
            <w:tcBorders>
              <w:top w:val="single" w:sz="2" w:space="0" w:color="auto"/>
              <w:bottom w:val="single" w:sz="4" w:space="0" w:color="auto"/>
            </w:tcBorders>
          </w:tcPr>
          <w:p w14:paraId="3EB52162" w14:textId="77777777" w:rsidR="00D31879" w:rsidRPr="001F0C9A" w:rsidRDefault="00D31879" w:rsidP="00E11ED1">
            <w:pPr>
              <w:keepNext/>
              <w:rPr>
                <w:rFonts w:cs="Arial"/>
                <w:sz w:val="20"/>
                <w:szCs w:val="22"/>
              </w:rPr>
            </w:pPr>
            <w:r w:rsidRPr="001F0C9A">
              <w:rPr>
                <w:rFonts w:cs="Arial"/>
                <w:sz w:val="20"/>
                <w:szCs w:val="22"/>
              </w:rPr>
              <w:t xml:space="preserve">Average Quantity per Serving </w:t>
            </w:r>
          </w:p>
        </w:tc>
        <w:tc>
          <w:tcPr>
            <w:tcW w:w="1985" w:type="dxa"/>
            <w:tcBorders>
              <w:top w:val="single" w:sz="2" w:space="0" w:color="auto"/>
              <w:bottom w:val="single" w:sz="4" w:space="0" w:color="auto"/>
            </w:tcBorders>
          </w:tcPr>
          <w:p w14:paraId="45CE8BE9" w14:textId="77777777" w:rsidR="00D31879" w:rsidRPr="001F0C9A" w:rsidRDefault="00D31879" w:rsidP="00E11ED1">
            <w:pPr>
              <w:keepNext/>
              <w:rPr>
                <w:rFonts w:cs="Arial"/>
                <w:sz w:val="20"/>
                <w:szCs w:val="22"/>
              </w:rPr>
            </w:pPr>
            <w:r w:rsidRPr="001F0C9A">
              <w:rPr>
                <w:rFonts w:cs="Arial"/>
                <w:sz w:val="20"/>
                <w:szCs w:val="22"/>
              </w:rPr>
              <w:t>% Daily Intake*</w:t>
            </w:r>
            <w:r w:rsidRPr="001F0C9A">
              <w:rPr>
                <w:rFonts w:cs="Arial"/>
                <w:sz w:val="20"/>
                <w:szCs w:val="22"/>
              </w:rPr>
              <w:br/>
              <w:t>(per Serving)</w:t>
            </w:r>
          </w:p>
        </w:tc>
        <w:tc>
          <w:tcPr>
            <w:tcW w:w="2349" w:type="dxa"/>
            <w:gridSpan w:val="2"/>
            <w:tcBorders>
              <w:top w:val="single" w:sz="2" w:space="0" w:color="auto"/>
              <w:bottom w:val="single" w:sz="4" w:space="0" w:color="auto"/>
              <w:right w:val="single" w:sz="4" w:space="0" w:color="auto"/>
            </w:tcBorders>
          </w:tcPr>
          <w:p w14:paraId="1FDA4549" w14:textId="77777777" w:rsidR="00D31879" w:rsidRPr="001F0C9A" w:rsidRDefault="00D31879" w:rsidP="00E11ED1">
            <w:pPr>
              <w:keepNext/>
              <w:ind w:left="204"/>
              <w:rPr>
                <w:rFonts w:cs="Arial"/>
                <w:sz w:val="20"/>
                <w:szCs w:val="22"/>
              </w:rPr>
            </w:pPr>
            <w:r w:rsidRPr="001F0C9A">
              <w:rPr>
                <w:rFonts w:cs="Arial"/>
                <w:sz w:val="20"/>
                <w:szCs w:val="22"/>
              </w:rPr>
              <w:t xml:space="preserve">Average Quantity per 100 g </w:t>
            </w:r>
            <w:r w:rsidRPr="001F0C9A">
              <w:rPr>
                <w:rFonts w:cs="Arial"/>
                <w:sz w:val="20"/>
                <w:szCs w:val="22"/>
              </w:rPr>
              <w:br/>
              <w:t>(or 100 mL)</w:t>
            </w:r>
          </w:p>
        </w:tc>
      </w:tr>
      <w:tr w:rsidR="00D31879" w:rsidRPr="00190EE5" w14:paraId="752330BB" w14:textId="77777777" w:rsidTr="00E11ED1">
        <w:trPr>
          <w:cantSplit/>
        </w:trPr>
        <w:tc>
          <w:tcPr>
            <w:tcW w:w="2670" w:type="dxa"/>
            <w:tcBorders>
              <w:top w:val="single" w:sz="4" w:space="0" w:color="auto"/>
              <w:left w:val="single" w:sz="2" w:space="0" w:color="auto"/>
            </w:tcBorders>
          </w:tcPr>
          <w:p w14:paraId="1824029D" w14:textId="77777777" w:rsidR="00D31879" w:rsidRPr="001F0C9A" w:rsidRDefault="00D31879" w:rsidP="00E11ED1">
            <w:pPr>
              <w:keepNext/>
              <w:rPr>
                <w:rFonts w:cs="Arial"/>
                <w:sz w:val="20"/>
                <w:szCs w:val="22"/>
              </w:rPr>
            </w:pPr>
            <w:r w:rsidRPr="001F0C9A">
              <w:rPr>
                <w:rFonts w:cs="Arial"/>
                <w:sz w:val="20"/>
                <w:szCs w:val="22"/>
              </w:rPr>
              <w:t>Energy</w:t>
            </w:r>
          </w:p>
          <w:p w14:paraId="3884F1E4" w14:textId="77777777" w:rsidR="00D31879" w:rsidRPr="001F0C9A" w:rsidRDefault="00D31879" w:rsidP="00E11ED1">
            <w:pPr>
              <w:keepNext/>
              <w:rPr>
                <w:rFonts w:cs="Arial"/>
                <w:sz w:val="20"/>
                <w:szCs w:val="22"/>
              </w:rPr>
            </w:pPr>
          </w:p>
        </w:tc>
        <w:tc>
          <w:tcPr>
            <w:tcW w:w="1440" w:type="dxa"/>
            <w:tcBorders>
              <w:top w:val="single" w:sz="4" w:space="0" w:color="auto"/>
            </w:tcBorders>
          </w:tcPr>
          <w:p w14:paraId="5F407BC9" w14:textId="77777777" w:rsidR="00D31879" w:rsidRPr="001F0C9A" w:rsidRDefault="00D31879" w:rsidP="00E11ED1">
            <w:pPr>
              <w:keepNext/>
              <w:rPr>
                <w:rFonts w:cs="Arial"/>
                <w:sz w:val="20"/>
                <w:szCs w:val="22"/>
              </w:rPr>
            </w:pPr>
            <w:r w:rsidRPr="001F0C9A">
              <w:rPr>
                <w:rFonts w:cs="Arial"/>
                <w:sz w:val="20"/>
                <w:szCs w:val="22"/>
              </w:rPr>
              <w:t>kJ (Cal)</w:t>
            </w:r>
          </w:p>
        </w:tc>
        <w:tc>
          <w:tcPr>
            <w:tcW w:w="1985" w:type="dxa"/>
            <w:tcBorders>
              <w:top w:val="single" w:sz="4" w:space="0" w:color="auto"/>
            </w:tcBorders>
          </w:tcPr>
          <w:p w14:paraId="47D9C48E" w14:textId="77777777" w:rsidR="00D31879" w:rsidRPr="001F0C9A" w:rsidRDefault="00D31879" w:rsidP="00E11ED1">
            <w:pPr>
              <w:keepNext/>
              <w:rPr>
                <w:rFonts w:cs="Arial"/>
                <w:sz w:val="20"/>
                <w:szCs w:val="22"/>
              </w:rPr>
            </w:pPr>
            <w:r w:rsidRPr="001F0C9A">
              <w:rPr>
                <w:rFonts w:cs="Arial"/>
                <w:sz w:val="20"/>
                <w:szCs w:val="22"/>
              </w:rPr>
              <w:t>%</w:t>
            </w:r>
          </w:p>
        </w:tc>
        <w:tc>
          <w:tcPr>
            <w:tcW w:w="2349" w:type="dxa"/>
            <w:gridSpan w:val="2"/>
            <w:tcBorders>
              <w:top w:val="single" w:sz="4" w:space="0" w:color="auto"/>
              <w:right w:val="single" w:sz="4" w:space="0" w:color="auto"/>
            </w:tcBorders>
          </w:tcPr>
          <w:p w14:paraId="08566311" w14:textId="77777777" w:rsidR="00D31879" w:rsidRPr="001F0C9A" w:rsidRDefault="00D31879" w:rsidP="00E11ED1">
            <w:pPr>
              <w:keepNext/>
              <w:ind w:left="204"/>
              <w:rPr>
                <w:rFonts w:cs="Arial"/>
                <w:sz w:val="20"/>
                <w:szCs w:val="22"/>
              </w:rPr>
            </w:pPr>
            <w:r w:rsidRPr="001F0C9A">
              <w:rPr>
                <w:rFonts w:cs="Arial"/>
                <w:sz w:val="20"/>
                <w:szCs w:val="22"/>
              </w:rPr>
              <w:t>kJ (Cal)</w:t>
            </w:r>
          </w:p>
        </w:tc>
      </w:tr>
      <w:tr w:rsidR="00D31879" w:rsidRPr="00190EE5" w14:paraId="3CAA7998" w14:textId="77777777" w:rsidTr="00E11ED1">
        <w:trPr>
          <w:cantSplit/>
        </w:trPr>
        <w:tc>
          <w:tcPr>
            <w:tcW w:w="2670" w:type="dxa"/>
            <w:tcBorders>
              <w:left w:val="single" w:sz="2" w:space="0" w:color="auto"/>
            </w:tcBorders>
          </w:tcPr>
          <w:p w14:paraId="6211608E" w14:textId="77777777" w:rsidR="00D31879" w:rsidRPr="001F0C9A" w:rsidRDefault="00D31879" w:rsidP="00E11ED1">
            <w:pPr>
              <w:keepNext/>
              <w:rPr>
                <w:rFonts w:cs="Arial"/>
                <w:sz w:val="20"/>
                <w:szCs w:val="22"/>
              </w:rPr>
            </w:pPr>
            <w:r w:rsidRPr="001F0C9A">
              <w:rPr>
                <w:rFonts w:cs="Arial"/>
                <w:sz w:val="20"/>
                <w:szCs w:val="22"/>
              </w:rPr>
              <w:t>Protein</w:t>
            </w:r>
          </w:p>
          <w:p w14:paraId="4FB213B5" w14:textId="77777777" w:rsidR="00D31879" w:rsidRPr="001F0C9A" w:rsidRDefault="00D31879" w:rsidP="00E11ED1">
            <w:pPr>
              <w:keepNext/>
              <w:rPr>
                <w:rFonts w:cs="Arial"/>
                <w:sz w:val="20"/>
                <w:szCs w:val="22"/>
              </w:rPr>
            </w:pPr>
          </w:p>
        </w:tc>
        <w:tc>
          <w:tcPr>
            <w:tcW w:w="1440" w:type="dxa"/>
          </w:tcPr>
          <w:p w14:paraId="7DAAE4B6" w14:textId="77777777" w:rsidR="00D31879" w:rsidRPr="001F0C9A" w:rsidRDefault="00D31879" w:rsidP="00E11ED1">
            <w:pPr>
              <w:keepNext/>
              <w:rPr>
                <w:rFonts w:cs="Arial"/>
                <w:sz w:val="20"/>
                <w:szCs w:val="22"/>
              </w:rPr>
            </w:pPr>
            <w:r w:rsidRPr="001F0C9A">
              <w:rPr>
                <w:rFonts w:cs="Arial"/>
                <w:sz w:val="20"/>
                <w:szCs w:val="22"/>
              </w:rPr>
              <w:t>g</w:t>
            </w:r>
          </w:p>
        </w:tc>
        <w:tc>
          <w:tcPr>
            <w:tcW w:w="1985" w:type="dxa"/>
          </w:tcPr>
          <w:p w14:paraId="201511C8" w14:textId="77777777" w:rsidR="00D31879" w:rsidRPr="001F0C9A" w:rsidRDefault="00D31879" w:rsidP="00E11ED1">
            <w:pPr>
              <w:keepNext/>
              <w:rPr>
                <w:rFonts w:cs="Arial"/>
                <w:sz w:val="20"/>
                <w:szCs w:val="22"/>
              </w:rPr>
            </w:pPr>
            <w:r w:rsidRPr="001F0C9A">
              <w:rPr>
                <w:rFonts w:cs="Arial"/>
                <w:sz w:val="20"/>
                <w:szCs w:val="22"/>
              </w:rPr>
              <w:t>%</w:t>
            </w:r>
          </w:p>
        </w:tc>
        <w:tc>
          <w:tcPr>
            <w:tcW w:w="2349" w:type="dxa"/>
            <w:gridSpan w:val="2"/>
            <w:tcBorders>
              <w:right w:val="single" w:sz="4" w:space="0" w:color="auto"/>
            </w:tcBorders>
          </w:tcPr>
          <w:p w14:paraId="6357DC47" w14:textId="77777777" w:rsidR="00D31879" w:rsidRPr="001F0C9A" w:rsidRDefault="00D31879" w:rsidP="00E11ED1">
            <w:pPr>
              <w:keepNext/>
              <w:ind w:left="204"/>
              <w:rPr>
                <w:rFonts w:cs="Arial"/>
                <w:sz w:val="20"/>
                <w:szCs w:val="22"/>
              </w:rPr>
            </w:pPr>
            <w:r w:rsidRPr="001F0C9A">
              <w:rPr>
                <w:rFonts w:cs="Arial"/>
                <w:sz w:val="20"/>
                <w:szCs w:val="22"/>
              </w:rPr>
              <w:t>g</w:t>
            </w:r>
          </w:p>
        </w:tc>
      </w:tr>
      <w:tr w:rsidR="00D31879" w:rsidRPr="00190EE5" w14:paraId="57E47A0E" w14:textId="77777777" w:rsidTr="00E11ED1">
        <w:trPr>
          <w:cantSplit/>
        </w:trPr>
        <w:tc>
          <w:tcPr>
            <w:tcW w:w="2670" w:type="dxa"/>
            <w:tcBorders>
              <w:left w:val="single" w:sz="2" w:space="0" w:color="auto"/>
            </w:tcBorders>
          </w:tcPr>
          <w:p w14:paraId="730781F9" w14:textId="77777777" w:rsidR="00D31879" w:rsidRPr="001F0C9A" w:rsidRDefault="00D31879" w:rsidP="00E11ED1">
            <w:pPr>
              <w:keepNext/>
              <w:rPr>
                <w:rFonts w:cs="Arial"/>
                <w:sz w:val="20"/>
                <w:szCs w:val="22"/>
              </w:rPr>
            </w:pPr>
            <w:r w:rsidRPr="001F0C9A">
              <w:rPr>
                <w:rFonts w:cs="Arial"/>
                <w:sz w:val="20"/>
                <w:szCs w:val="22"/>
              </w:rPr>
              <w:t>Fat, total</w:t>
            </w:r>
          </w:p>
        </w:tc>
        <w:tc>
          <w:tcPr>
            <w:tcW w:w="1440" w:type="dxa"/>
          </w:tcPr>
          <w:p w14:paraId="021231C9" w14:textId="77777777" w:rsidR="00D31879" w:rsidRPr="001F0C9A" w:rsidRDefault="00D31879" w:rsidP="00E11ED1">
            <w:pPr>
              <w:keepNext/>
              <w:rPr>
                <w:rFonts w:cs="Arial"/>
                <w:sz w:val="20"/>
                <w:szCs w:val="22"/>
              </w:rPr>
            </w:pPr>
            <w:r w:rsidRPr="001F0C9A">
              <w:rPr>
                <w:rFonts w:cs="Arial"/>
                <w:sz w:val="20"/>
                <w:szCs w:val="22"/>
              </w:rPr>
              <w:t>g</w:t>
            </w:r>
          </w:p>
        </w:tc>
        <w:tc>
          <w:tcPr>
            <w:tcW w:w="1985" w:type="dxa"/>
          </w:tcPr>
          <w:p w14:paraId="0F0C96F5" w14:textId="77777777" w:rsidR="00D31879" w:rsidRPr="001F0C9A" w:rsidRDefault="00D31879" w:rsidP="00E11ED1">
            <w:pPr>
              <w:keepNext/>
              <w:rPr>
                <w:rFonts w:cs="Arial"/>
                <w:sz w:val="20"/>
                <w:szCs w:val="22"/>
              </w:rPr>
            </w:pPr>
            <w:r w:rsidRPr="001F0C9A">
              <w:rPr>
                <w:rFonts w:cs="Arial"/>
                <w:sz w:val="20"/>
                <w:szCs w:val="22"/>
              </w:rPr>
              <w:t>%</w:t>
            </w:r>
          </w:p>
        </w:tc>
        <w:tc>
          <w:tcPr>
            <w:tcW w:w="2349" w:type="dxa"/>
            <w:gridSpan w:val="2"/>
            <w:tcBorders>
              <w:right w:val="single" w:sz="4" w:space="0" w:color="auto"/>
            </w:tcBorders>
          </w:tcPr>
          <w:p w14:paraId="7107EB8D" w14:textId="77777777" w:rsidR="00D31879" w:rsidRPr="001F0C9A" w:rsidRDefault="00D31879" w:rsidP="00E11ED1">
            <w:pPr>
              <w:keepNext/>
              <w:ind w:left="204"/>
              <w:rPr>
                <w:rFonts w:cs="Arial"/>
                <w:sz w:val="20"/>
                <w:szCs w:val="22"/>
              </w:rPr>
            </w:pPr>
            <w:r w:rsidRPr="001F0C9A">
              <w:rPr>
                <w:rFonts w:cs="Arial"/>
                <w:sz w:val="20"/>
                <w:szCs w:val="22"/>
              </w:rPr>
              <w:t>g</w:t>
            </w:r>
          </w:p>
        </w:tc>
      </w:tr>
      <w:tr w:rsidR="00D31879" w:rsidRPr="00190EE5" w14:paraId="7758AEDD" w14:textId="77777777" w:rsidTr="00E11ED1">
        <w:trPr>
          <w:cantSplit/>
        </w:trPr>
        <w:tc>
          <w:tcPr>
            <w:tcW w:w="2670" w:type="dxa"/>
            <w:tcBorders>
              <w:left w:val="single" w:sz="2" w:space="0" w:color="auto"/>
            </w:tcBorders>
          </w:tcPr>
          <w:p w14:paraId="732B5242" w14:textId="77777777" w:rsidR="00D31879" w:rsidRPr="001F0C9A" w:rsidRDefault="00D31879" w:rsidP="00E11ED1">
            <w:pPr>
              <w:keepNext/>
              <w:rPr>
                <w:rFonts w:cs="Arial"/>
                <w:sz w:val="20"/>
                <w:szCs w:val="22"/>
              </w:rPr>
            </w:pPr>
            <w:r w:rsidRPr="001F0C9A">
              <w:rPr>
                <w:rFonts w:cs="Arial"/>
                <w:sz w:val="20"/>
                <w:szCs w:val="22"/>
              </w:rPr>
              <w:t xml:space="preserve">      – saturated</w:t>
            </w:r>
          </w:p>
        </w:tc>
        <w:tc>
          <w:tcPr>
            <w:tcW w:w="1440" w:type="dxa"/>
          </w:tcPr>
          <w:p w14:paraId="5FFFB2BF" w14:textId="77777777" w:rsidR="00D31879" w:rsidRPr="001F0C9A" w:rsidRDefault="00D31879" w:rsidP="00E11ED1">
            <w:pPr>
              <w:keepNext/>
              <w:rPr>
                <w:rFonts w:cs="Arial"/>
                <w:sz w:val="20"/>
                <w:szCs w:val="22"/>
              </w:rPr>
            </w:pPr>
            <w:r w:rsidRPr="001F0C9A">
              <w:rPr>
                <w:rFonts w:cs="Arial"/>
                <w:sz w:val="20"/>
                <w:szCs w:val="22"/>
              </w:rPr>
              <w:t>g</w:t>
            </w:r>
          </w:p>
        </w:tc>
        <w:tc>
          <w:tcPr>
            <w:tcW w:w="1985" w:type="dxa"/>
          </w:tcPr>
          <w:p w14:paraId="6F79447E" w14:textId="77777777" w:rsidR="00D31879" w:rsidRPr="001F0C9A" w:rsidRDefault="00D31879" w:rsidP="00E11ED1">
            <w:pPr>
              <w:keepNext/>
              <w:rPr>
                <w:rFonts w:cs="Arial"/>
                <w:sz w:val="20"/>
                <w:szCs w:val="22"/>
              </w:rPr>
            </w:pPr>
            <w:r w:rsidRPr="001F0C9A">
              <w:rPr>
                <w:rFonts w:cs="Arial"/>
                <w:sz w:val="20"/>
                <w:szCs w:val="22"/>
              </w:rPr>
              <w:t>%</w:t>
            </w:r>
          </w:p>
        </w:tc>
        <w:tc>
          <w:tcPr>
            <w:tcW w:w="2349" w:type="dxa"/>
            <w:gridSpan w:val="2"/>
            <w:tcBorders>
              <w:right w:val="single" w:sz="4" w:space="0" w:color="auto"/>
            </w:tcBorders>
          </w:tcPr>
          <w:p w14:paraId="1A458053" w14:textId="77777777" w:rsidR="00D31879" w:rsidRPr="001F0C9A" w:rsidRDefault="00D31879" w:rsidP="00E11ED1">
            <w:pPr>
              <w:keepNext/>
              <w:ind w:left="204"/>
              <w:rPr>
                <w:rFonts w:cs="Arial"/>
                <w:sz w:val="20"/>
                <w:szCs w:val="22"/>
              </w:rPr>
            </w:pPr>
            <w:r w:rsidRPr="001F0C9A">
              <w:rPr>
                <w:rFonts w:cs="Arial"/>
                <w:sz w:val="20"/>
                <w:szCs w:val="22"/>
              </w:rPr>
              <w:t>g</w:t>
            </w:r>
          </w:p>
        </w:tc>
      </w:tr>
      <w:tr w:rsidR="00D31879" w:rsidRPr="00190EE5" w14:paraId="20490B7E" w14:textId="77777777" w:rsidTr="00E11ED1">
        <w:trPr>
          <w:cantSplit/>
        </w:trPr>
        <w:tc>
          <w:tcPr>
            <w:tcW w:w="2670" w:type="dxa"/>
            <w:tcBorders>
              <w:left w:val="single" w:sz="2" w:space="0" w:color="auto"/>
            </w:tcBorders>
          </w:tcPr>
          <w:p w14:paraId="203955C3" w14:textId="77777777" w:rsidR="00D31879" w:rsidRPr="001F0C9A" w:rsidRDefault="00D31879" w:rsidP="00E11ED1">
            <w:pPr>
              <w:keepNext/>
              <w:rPr>
                <w:rFonts w:cs="Arial"/>
                <w:sz w:val="20"/>
                <w:szCs w:val="22"/>
              </w:rPr>
            </w:pPr>
            <w:r w:rsidRPr="001F0C9A">
              <w:rPr>
                <w:rFonts w:cs="Arial"/>
                <w:sz w:val="20"/>
                <w:szCs w:val="22"/>
              </w:rPr>
              <w:t>Carbohydrate</w:t>
            </w:r>
          </w:p>
          <w:p w14:paraId="529BEEE2" w14:textId="77777777" w:rsidR="00D31879" w:rsidRPr="001F0C9A" w:rsidRDefault="00D31879" w:rsidP="00E11ED1">
            <w:pPr>
              <w:keepNext/>
              <w:rPr>
                <w:rFonts w:cs="Arial"/>
                <w:sz w:val="20"/>
                <w:szCs w:val="22"/>
              </w:rPr>
            </w:pPr>
            <w:r w:rsidRPr="001F0C9A">
              <w:rPr>
                <w:rFonts w:cs="Arial"/>
                <w:sz w:val="20"/>
                <w:szCs w:val="22"/>
              </w:rPr>
              <w:t xml:space="preserve">      – sugars</w:t>
            </w:r>
          </w:p>
        </w:tc>
        <w:tc>
          <w:tcPr>
            <w:tcW w:w="1440" w:type="dxa"/>
          </w:tcPr>
          <w:p w14:paraId="43283429" w14:textId="77777777" w:rsidR="00D31879" w:rsidRPr="001F0C9A" w:rsidRDefault="00D31879" w:rsidP="00E11ED1">
            <w:pPr>
              <w:keepNext/>
              <w:rPr>
                <w:rFonts w:cs="Arial"/>
                <w:sz w:val="20"/>
                <w:szCs w:val="22"/>
              </w:rPr>
            </w:pPr>
            <w:r w:rsidRPr="001F0C9A">
              <w:rPr>
                <w:rFonts w:cs="Arial"/>
                <w:sz w:val="20"/>
                <w:szCs w:val="22"/>
              </w:rPr>
              <w:t>g</w:t>
            </w:r>
          </w:p>
          <w:p w14:paraId="7865DD7C" w14:textId="77777777" w:rsidR="00D31879" w:rsidRPr="001F0C9A" w:rsidRDefault="00D31879" w:rsidP="00E11ED1">
            <w:pPr>
              <w:keepNext/>
              <w:rPr>
                <w:rFonts w:cs="Arial"/>
                <w:sz w:val="20"/>
                <w:szCs w:val="22"/>
              </w:rPr>
            </w:pPr>
            <w:r w:rsidRPr="001F0C9A">
              <w:rPr>
                <w:rFonts w:cs="Arial"/>
                <w:sz w:val="20"/>
                <w:szCs w:val="22"/>
              </w:rPr>
              <w:t>g</w:t>
            </w:r>
          </w:p>
        </w:tc>
        <w:tc>
          <w:tcPr>
            <w:tcW w:w="1985" w:type="dxa"/>
          </w:tcPr>
          <w:p w14:paraId="76EEE105" w14:textId="77777777" w:rsidR="00D31879" w:rsidRPr="001F0C9A" w:rsidRDefault="00D31879" w:rsidP="00E11ED1">
            <w:pPr>
              <w:keepNext/>
              <w:rPr>
                <w:rFonts w:cs="Arial"/>
                <w:sz w:val="20"/>
                <w:szCs w:val="22"/>
              </w:rPr>
            </w:pPr>
            <w:r w:rsidRPr="001F0C9A">
              <w:rPr>
                <w:rFonts w:cs="Arial"/>
                <w:sz w:val="20"/>
                <w:szCs w:val="22"/>
              </w:rPr>
              <w:t>%</w:t>
            </w:r>
          </w:p>
          <w:p w14:paraId="453B6A23" w14:textId="77777777" w:rsidR="00D31879" w:rsidRPr="001F0C9A" w:rsidRDefault="00D31879" w:rsidP="00E11ED1">
            <w:pPr>
              <w:keepNext/>
              <w:rPr>
                <w:rFonts w:cs="Arial"/>
                <w:sz w:val="20"/>
                <w:szCs w:val="22"/>
              </w:rPr>
            </w:pPr>
            <w:r w:rsidRPr="001F0C9A">
              <w:rPr>
                <w:rFonts w:cs="Arial"/>
                <w:sz w:val="20"/>
                <w:szCs w:val="22"/>
              </w:rPr>
              <w:t>%</w:t>
            </w:r>
          </w:p>
        </w:tc>
        <w:tc>
          <w:tcPr>
            <w:tcW w:w="2349" w:type="dxa"/>
            <w:gridSpan w:val="2"/>
            <w:tcBorders>
              <w:right w:val="single" w:sz="4" w:space="0" w:color="auto"/>
            </w:tcBorders>
          </w:tcPr>
          <w:p w14:paraId="13639B28" w14:textId="77777777" w:rsidR="00D31879" w:rsidRPr="001F0C9A" w:rsidRDefault="00D31879" w:rsidP="00E11ED1">
            <w:pPr>
              <w:keepNext/>
              <w:ind w:left="204"/>
              <w:rPr>
                <w:rFonts w:cs="Arial"/>
                <w:sz w:val="20"/>
                <w:szCs w:val="22"/>
              </w:rPr>
            </w:pPr>
            <w:r w:rsidRPr="001F0C9A">
              <w:rPr>
                <w:rFonts w:cs="Arial"/>
                <w:sz w:val="20"/>
                <w:szCs w:val="22"/>
              </w:rPr>
              <w:t>g</w:t>
            </w:r>
          </w:p>
          <w:p w14:paraId="6F440A38" w14:textId="77777777" w:rsidR="00D31879" w:rsidRPr="001F0C9A" w:rsidRDefault="00D31879" w:rsidP="00E11ED1">
            <w:pPr>
              <w:keepNext/>
              <w:ind w:left="204"/>
              <w:rPr>
                <w:rFonts w:cs="Arial"/>
                <w:sz w:val="20"/>
                <w:szCs w:val="22"/>
              </w:rPr>
            </w:pPr>
            <w:r w:rsidRPr="001F0C9A">
              <w:rPr>
                <w:rFonts w:cs="Arial"/>
                <w:sz w:val="20"/>
                <w:szCs w:val="22"/>
              </w:rPr>
              <w:t>g</w:t>
            </w:r>
          </w:p>
        </w:tc>
      </w:tr>
      <w:tr w:rsidR="00D31879" w:rsidRPr="00132D9E" w14:paraId="6EA19471" w14:textId="77777777" w:rsidTr="00E11ED1">
        <w:trPr>
          <w:cantSplit/>
        </w:trPr>
        <w:tc>
          <w:tcPr>
            <w:tcW w:w="2670" w:type="dxa"/>
            <w:tcBorders>
              <w:left w:val="single" w:sz="2" w:space="0" w:color="auto"/>
            </w:tcBorders>
          </w:tcPr>
          <w:p w14:paraId="2D4AB212" w14:textId="77777777" w:rsidR="00D31879" w:rsidRPr="001F0C9A" w:rsidRDefault="00D31879" w:rsidP="00E11ED1">
            <w:pPr>
              <w:keepNext/>
              <w:rPr>
                <w:rFonts w:cs="Arial"/>
                <w:sz w:val="20"/>
                <w:szCs w:val="22"/>
              </w:rPr>
            </w:pPr>
            <w:r w:rsidRPr="001F0C9A">
              <w:rPr>
                <w:rFonts w:cs="Arial"/>
                <w:sz w:val="20"/>
                <w:szCs w:val="22"/>
              </w:rPr>
              <w:t>Sodium</w:t>
            </w:r>
          </w:p>
          <w:p w14:paraId="259E3974" w14:textId="77777777" w:rsidR="00D31879" w:rsidRPr="001F0C9A" w:rsidRDefault="00D31879" w:rsidP="00E11ED1">
            <w:pPr>
              <w:keepNext/>
              <w:rPr>
                <w:rFonts w:cs="Arial"/>
                <w:sz w:val="20"/>
                <w:szCs w:val="22"/>
              </w:rPr>
            </w:pPr>
          </w:p>
          <w:p w14:paraId="420ED39C" w14:textId="77777777" w:rsidR="00D31879" w:rsidRPr="001F0C9A" w:rsidRDefault="00D31879" w:rsidP="00E11ED1">
            <w:pPr>
              <w:keepNext/>
              <w:rPr>
                <w:rFonts w:cs="Arial"/>
                <w:sz w:val="20"/>
                <w:szCs w:val="22"/>
              </w:rPr>
            </w:pPr>
          </w:p>
          <w:p w14:paraId="4DD8D18D" w14:textId="77777777" w:rsidR="00D31879" w:rsidRPr="001F0C9A" w:rsidRDefault="00D31879" w:rsidP="00E11ED1">
            <w:pPr>
              <w:keepNext/>
              <w:rPr>
                <w:rFonts w:cs="Arial"/>
                <w:sz w:val="20"/>
                <w:szCs w:val="22"/>
              </w:rPr>
            </w:pPr>
          </w:p>
          <w:p w14:paraId="11EBEBD0" w14:textId="77777777" w:rsidR="00D31879" w:rsidRPr="001F0C9A" w:rsidRDefault="00D31879" w:rsidP="00E11ED1">
            <w:pPr>
              <w:keepNext/>
              <w:rPr>
                <w:rFonts w:cs="Arial"/>
                <w:sz w:val="20"/>
                <w:szCs w:val="22"/>
              </w:rPr>
            </w:pPr>
            <w:r w:rsidRPr="001F0C9A">
              <w:rPr>
                <w:rFonts w:cs="Arial"/>
                <w:sz w:val="20"/>
                <w:szCs w:val="22"/>
              </w:rPr>
              <w:t>Vitamin C</w:t>
            </w:r>
          </w:p>
          <w:p w14:paraId="22C23905" w14:textId="77777777" w:rsidR="00D31879" w:rsidRPr="001F0C9A" w:rsidRDefault="00D31879" w:rsidP="00E11ED1">
            <w:pPr>
              <w:keepNext/>
              <w:rPr>
                <w:rFonts w:cs="Arial"/>
                <w:sz w:val="20"/>
                <w:szCs w:val="22"/>
              </w:rPr>
            </w:pPr>
            <w:r w:rsidRPr="001F0C9A">
              <w:rPr>
                <w:rFonts w:cs="Arial"/>
                <w:sz w:val="20"/>
                <w:szCs w:val="22"/>
              </w:rPr>
              <w:t>Calcium</w:t>
            </w:r>
          </w:p>
        </w:tc>
        <w:tc>
          <w:tcPr>
            <w:tcW w:w="1440" w:type="dxa"/>
          </w:tcPr>
          <w:p w14:paraId="10123FF9" w14:textId="77777777" w:rsidR="00D31879" w:rsidRPr="001F0C9A" w:rsidRDefault="00D31879" w:rsidP="00E11ED1">
            <w:pPr>
              <w:keepNext/>
              <w:rPr>
                <w:rFonts w:cs="Arial"/>
                <w:sz w:val="20"/>
                <w:szCs w:val="22"/>
              </w:rPr>
            </w:pPr>
            <w:r w:rsidRPr="001F0C9A">
              <w:rPr>
                <w:rFonts w:cs="Arial"/>
                <w:sz w:val="20"/>
                <w:szCs w:val="22"/>
              </w:rPr>
              <w:t>mg (mmol)</w:t>
            </w:r>
          </w:p>
          <w:p w14:paraId="272CEE0E" w14:textId="77777777" w:rsidR="00D31879" w:rsidRPr="001F0C9A" w:rsidRDefault="00D31879" w:rsidP="00E11ED1">
            <w:pPr>
              <w:keepNext/>
              <w:rPr>
                <w:rFonts w:cs="Arial"/>
                <w:sz w:val="20"/>
                <w:szCs w:val="22"/>
              </w:rPr>
            </w:pPr>
          </w:p>
          <w:p w14:paraId="01B54437" w14:textId="77777777" w:rsidR="00D31879" w:rsidRPr="001F0C9A" w:rsidRDefault="00D31879" w:rsidP="00E11ED1">
            <w:pPr>
              <w:keepNext/>
              <w:rPr>
                <w:rFonts w:cs="Arial"/>
                <w:sz w:val="20"/>
                <w:szCs w:val="22"/>
              </w:rPr>
            </w:pPr>
          </w:p>
          <w:p w14:paraId="22069D24" w14:textId="77777777" w:rsidR="00D31879" w:rsidRPr="001F0C9A" w:rsidRDefault="00D31879" w:rsidP="00E11ED1">
            <w:pPr>
              <w:keepNext/>
              <w:rPr>
                <w:rFonts w:cs="Arial"/>
                <w:sz w:val="20"/>
                <w:szCs w:val="22"/>
              </w:rPr>
            </w:pPr>
          </w:p>
          <w:p w14:paraId="72C73988" w14:textId="77777777" w:rsidR="00D31879" w:rsidRPr="001F0C9A" w:rsidRDefault="00D31879" w:rsidP="00E11ED1">
            <w:pPr>
              <w:keepNext/>
              <w:rPr>
                <w:rFonts w:cs="Arial"/>
                <w:sz w:val="20"/>
                <w:szCs w:val="22"/>
              </w:rPr>
            </w:pPr>
            <w:r w:rsidRPr="001F0C9A">
              <w:rPr>
                <w:rFonts w:cs="Arial"/>
                <w:sz w:val="20"/>
                <w:szCs w:val="22"/>
              </w:rPr>
              <w:t>mg</w:t>
            </w:r>
          </w:p>
          <w:p w14:paraId="5FF703E0" w14:textId="77777777" w:rsidR="00D31879" w:rsidRPr="001F0C9A" w:rsidRDefault="00D31879" w:rsidP="00E11ED1">
            <w:pPr>
              <w:keepNext/>
              <w:rPr>
                <w:rFonts w:cs="Arial"/>
                <w:sz w:val="20"/>
                <w:szCs w:val="22"/>
              </w:rPr>
            </w:pPr>
            <w:r w:rsidRPr="001F0C9A">
              <w:rPr>
                <w:rFonts w:cs="Arial"/>
                <w:sz w:val="20"/>
                <w:szCs w:val="22"/>
              </w:rPr>
              <w:t>mg</w:t>
            </w:r>
          </w:p>
        </w:tc>
        <w:tc>
          <w:tcPr>
            <w:tcW w:w="2127" w:type="dxa"/>
            <w:gridSpan w:val="2"/>
          </w:tcPr>
          <w:p w14:paraId="225C90C1" w14:textId="77777777" w:rsidR="00D31879" w:rsidRPr="001F0C9A" w:rsidRDefault="00D31879" w:rsidP="00E11ED1">
            <w:pPr>
              <w:keepNext/>
              <w:rPr>
                <w:rFonts w:cs="Arial"/>
                <w:sz w:val="20"/>
                <w:szCs w:val="22"/>
              </w:rPr>
            </w:pPr>
            <w:r w:rsidRPr="001F0C9A">
              <w:rPr>
                <w:rFonts w:cs="Arial"/>
                <w:sz w:val="20"/>
                <w:szCs w:val="22"/>
              </w:rPr>
              <w:t>%</w:t>
            </w:r>
          </w:p>
          <w:p w14:paraId="5429F090" w14:textId="77777777" w:rsidR="00D31879" w:rsidRPr="001F0C9A" w:rsidRDefault="00D31879" w:rsidP="00E11ED1">
            <w:pPr>
              <w:keepNext/>
              <w:ind w:left="62"/>
              <w:rPr>
                <w:rFonts w:cs="Arial"/>
                <w:sz w:val="20"/>
                <w:szCs w:val="22"/>
              </w:rPr>
            </w:pPr>
          </w:p>
          <w:p w14:paraId="67FEA3D8" w14:textId="77777777" w:rsidR="00D31879" w:rsidRPr="001F0C9A" w:rsidRDefault="00D31879" w:rsidP="00E11ED1">
            <w:pPr>
              <w:keepNext/>
              <w:ind w:left="62"/>
              <w:rPr>
                <w:rFonts w:cs="Arial"/>
                <w:sz w:val="20"/>
                <w:szCs w:val="22"/>
              </w:rPr>
            </w:pPr>
          </w:p>
          <w:p w14:paraId="2EE08603" w14:textId="77777777" w:rsidR="00D31879" w:rsidRPr="001F0C9A" w:rsidRDefault="00D31879" w:rsidP="00E11ED1">
            <w:pPr>
              <w:keepNext/>
              <w:ind w:right="-317"/>
              <w:rPr>
                <w:rFonts w:cs="Arial"/>
                <w:sz w:val="20"/>
                <w:szCs w:val="22"/>
              </w:rPr>
            </w:pPr>
            <w:r w:rsidRPr="001F0C9A">
              <w:rPr>
                <w:rFonts w:cs="Arial"/>
                <w:sz w:val="20"/>
                <w:szCs w:val="22"/>
              </w:rPr>
              <w:t>% RDI (per serving)</w:t>
            </w:r>
          </w:p>
          <w:p w14:paraId="7681F42F" w14:textId="77777777" w:rsidR="00D31879" w:rsidRPr="001F0C9A" w:rsidRDefault="00D31879" w:rsidP="00E11ED1">
            <w:pPr>
              <w:keepNext/>
              <w:rPr>
                <w:rFonts w:cs="Arial"/>
                <w:sz w:val="20"/>
                <w:szCs w:val="22"/>
              </w:rPr>
            </w:pPr>
            <w:r w:rsidRPr="001F0C9A">
              <w:rPr>
                <w:rFonts w:cs="Arial"/>
                <w:sz w:val="20"/>
                <w:szCs w:val="22"/>
              </w:rPr>
              <w:t>%</w:t>
            </w:r>
          </w:p>
          <w:p w14:paraId="728199C5" w14:textId="77777777" w:rsidR="00D31879" w:rsidRPr="001F0C9A" w:rsidRDefault="00D31879" w:rsidP="00E11ED1">
            <w:pPr>
              <w:keepNext/>
              <w:rPr>
                <w:rFonts w:cs="Arial"/>
                <w:sz w:val="20"/>
                <w:szCs w:val="22"/>
              </w:rPr>
            </w:pPr>
            <w:r w:rsidRPr="001F0C9A">
              <w:rPr>
                <w:rFonts w:cs="Arial"/>
                <w:sz w:val="20"/>
                <w:szCs w:val="22"/>
              </w:rPr>
              <w:t>%</w:t>
            </w:r>
          </w:p>
        </w:tc>
        <w:tc>
          <w:tcPr>
            <w:tcW w:w="2207" w:type="dxa"/>
            <w:tcBorders>
              <w:right w:val="single" w:sz="4" w:space="0" w:color="auto"/>
            </w:tcBorders>
          </w:tcPr>
          <w:p w14:paraId="70F50D94" w14:textId="77777777" w:rsidR="00D31879" w:rsidRPr="001F0C9A" w:rsidRDefault="00D31879" w:rsidP="00E11ED1">
            <w:pPr>
              <w:keepNext/>
              <w:ind w:left="62"/>
              <w:rPr>
                <w:rFonts w:cs="Arial"/>
                <w:sz w:val="20"/>
                <w:szCs w:val="22"/>
              </w:rPr>
            </w:pPr>
            <w:r w:rsidRPr="001F0C9A">
              <w:rPr>
                <w:rFonts w:cs="Arial"/>
                <w:sz w:val="20"/>
                <w:szCs w:val="22"/>
              </w:rPr>
              <w:t>mg (mmol)</w:t>
            </w:r>
          </w:p>
          <w:p w14:paraId="0416E014" w14:textId="77777777" w:rsidR="00D31879" w:rsidRPr="001F0C9A" w:rsidRDefault="00D31879" w:rsidP="00E11ED1">
            <w:pPr>
              <w:keepNext/>
              <w:ind w:left="62"/>
              <w:rPr>
                <w:rFonts w:cs="Arial"/>
                <w:sz w:val="20"/>
                <w:szCs w:val="22"/>
              </w:rPr>
            </w:pPr>
          </w:p>
          <w:p w14:paraId="7C9F15BC" w14:textId="77777777" w:rsidR="00D31879" w:rsidRPr="001F0C9A" w:rsidRDefault="00D31879" w:rsidP="00E11ED1">
            <w:pPr>
              <w:keepNext/>
              <w:ind w:left="62"/>
              <w:rPr>
                <w:rFonts w:cs="Arial"/>
                <w:sz w:val="20"/>
                <w:szCs w:val="22"/>
              </w:rPr>
            </w:pPr>
          </w:p>
          <w:p w14:paraId="7E11CF85" w14:textId="77777777" w:rsidR="00D31879" w:rsidRPr="001F0C9A" w:rsidRDefault="00D31879" w:rsidP="00E11ED1">
            <w:pPr>
              <w:keepNext/>
              <w:ind w:left="62"/>
              <w:rPr>
                <w:rFonts w:cs="Arial"/>
                <w:sz w:val="20"/>
                <w:szCs w:val="22"/>
              </w:rPr>
            </w:pPr>
          </w:p>
          <w:p w14:paraId="0C5315AF" w14:textId="77777777" w:rsidR="00D31879" w:rsidRPr="001F0C9A" w:rsidRDefault="00D31879" w:rsidP="00E11ED1">
            <w:pPr>
              <w:keepNext/>
              <w:ind w:left="62"/>
              <w:rPr>
                <w:rFonts w:cs="Arial"/>
                <w:sz w:val="20"/>
                <w:szCs w:val="22"/>
              </w:rPr>
            </w:pPr>
            <w:r w:rsidRPr="001F0C9A">
              <w:rPr>
                <w:rFonts w:cs="Arial"/>
                <w:sz w:val="20"/>
                <w:szCs w:val="22"/>
              </w:rPr>
              <w:t>mg</w:t>
            </w:r>
          </w:p>
          <w:p w14:paraId="6A73917F" w14:textId="77777777" w:rsidR="00D31879" w:rsidRPr="001F0C9A" w:rsidRDefault="00D31879" w:rsidP="00E11ED1">
            <w:pPr>
              <w:keepNext/>
              <w:ind w:left="62"/>
              <w:rPr>
                <w:rFonts w:cs="Arial"/>
                <w:sz w:val="20"/>
                <w:szCs w:val="22"/>
              </w:rPr>
            </w:pPr>
            <w:r w:rsidRPr="001F0C9A">
              <w:rPr>
                <w:rFonts w:cs="Arial"/>
                <w:sz w:val="20"/>
                <w:szCs w:val="22"/>
              </w:rPr>
              <w:t>mg</w:t>
            </w:r>
          </w:p>
        </w:tc>
      </w:tr>
      <w:tr w:rsidR="00D31879" w:rsidRPr="00190EE5" w14:paraId="3E4E4ED3" w14:textId="77777777" w:rsidTr="00E11ED1">
        <w:trPr>
          <w:cantSplit/>
        </w:trPr>
        <w:tc>
          <w:tcPr>
            <w:tcW w:w="2670" w:type="dxa"/>
            <w:tcBorders>
              <w:left w:val="single" w:sz="2" w:space="0" w:color="auto"/>
            </w:tcBorders>
          </w:tcPr>
          <w:p w14:paraId="47C8B50D" w14:textId="77777777" w:rsidR="00D31879" w:rsidRPr="00190EE5" w:rsidRDefault="00D31879" w:rsidP="00E11ED1">
            <w:pPr>
              <w:keepNext/>
              <w:rPr>
                <w:rFonts w:cs="Arial"/>
                <w:szCs w:val="22"/>
              </w:rPr>
            </w:pPr>
          </w:p>
        </w:tc>
        <w:tc>
          <w:tcPr>
            <w:tcW w:w="1440" w:type="dxa"/>
          </w:tcPr>
          <w:p w14:paraId="79D69341" w14:textId="77777777" w:rsidR="00D31879" w:rsidRPr="001F0C9A" w:rsidRDefault="00D31879" w:rsidP="00E11ED1">
            <w:pPr>
              <w:keepNext/>
              <w:rPr>
                <w:rFonts w:cs="Arial"/>
                <w:sz w:val="20"/>
                <w:szCs w:val="22"/>
              </w:rPr>
            </w:pPr>
          </w:p>
        </w:tc>
        <w:tc>
          <w:tcPr>
            <w:tcW w:w="1985" w:type="dxa"/>
          </w:tcPr>
          <w:p w14:paraId="37DC1528" w14:textId="77777777" w:rsidR="00D31879" w:rsidRPr="001F0C9A" w:rsidRDefault="00D31879" w:rsidP="00E11ED1">
            <w:pPr>
              <w:keepNext/>
              <w:rPr>
                <w:rFonts w:cs="Arial"/>
                <w:sz w:val="20"/>
                <w:szCs w:val="22"/>
              </w:rPr>
            </w:pPr>
          </w:p>
        </w:tc>
        <w:tc>
          <w:tcPr>
            <w:tcW w:w="2349" w:type="dxa"/>
            <w:gridSpan w:val="2"/>
            <w:tcBorders>
              <w:right w:val="single" w:sz="4" w:space="0" w:color="auto"/>
            </w:tcBorders>
          </w:tcPr>
          <w:p w14:paraId="112472A1" w14:textId="77777777" w:rsidR="00D31879" w:rsidRPr="001F0C9A" w:rsidRDefault="00D31879" w:rsidP="00E11ED1">
            <w:pPr>
              <w:keepNext/>
              <w:ind w:left="299"/>
              <w:rPr>
                <w:rFonts w:cs="Arial"/>
                <w:sz w:val="20"/>
                <w:szCs w:val="22"/>
              </w:rPr>
            </w:pPr>
          </w:p>
        </w:tc>
      </w:tr>
      <w:tr w:rsidR="00D31879" w:rsidRPr="00190EE5" w14:paraId="7F2EA034" w14:textId="77777777" w:rsidTr="00E11ED1">
        <w:trPr>
          <w:cantSplit/>
        </w:trPr>
        <w:tc>
          <w:tcPr>
            <w:tcW w:w="8444" w:type="dxa"/>
            <w:gridSpan w:val="5"/>
            <w:tcBorders>
              <w:left w:val="single" w:sz="2" w:space="0" w:color="auto"/>
              <w:bottom w:val="single" w:sz="2" w:space="0" w:color="auto"/>
              <w:right w:val="single" w:sz="4" w:space="0" w:color="auto"/>
            </w:tcBorders>
          </w:tcPr>
          <w:p w14:paraId="5D32C14D" w14:textId="77777777" w:rsidR="00D31879" w:rsidRPr="001F0C9A" w:rsidRDefault="00D31879" w:rsidP="00E11ED1">
            <w:pPr>
              <w:keepNext/>
              <w:rPr>
                <w:rFonts w:cs="Arial"/>
                <w:sz w:val="20"/>
                <w:szCs w:val="22"/>
              </w:rPr>
            </w:pPr>
            <w:r w:rsidRPr="001F0C9A">
              <w:rPr>
                <w:rFonts w:cs="Arial"/>
                <w:sz w:val="20"/>
                <w:szCs w:val="22"/>
              </w:rPr>
              <w:t xml:space="preserve">*Percentage daily intakes are based on an average adult diet of 8700 kJ. </w:t>
            </w:r>
          </w:p>
        </w:tc>
      </w:tr>
    </w:tbl>
    <w:p w14:paraId="3AC4E70C" w14:textId="77777777" w:rsidR="00D31879" w:rsidRDefault="00D31879" w:rsidP="00D31879">
      <w:pPr>
        <w:tabs>
          <w:tab w:val="left" w:pos="7088"/>
        </w:tabs>
        <w:rPr>
          <w:lang w:bidi="ar-SA"/>
        </w:rPr>
      </w:pPr>
    </w:p>
    <w:p w14:paraId="1081A2A0" w14:textId="2EE09073" w:rsidR="003E0646" w:rsidRDefault="00D31879" w:rsidP="00D31879">
      <w:pPr>
        <w:widowControl/>
      </w:pPr>
      <w:r>
        <w:rPr>
          <w:rFonts w:cs="Arial"/>
          <w:szCs w:val="22"/>
        </w:rPr>
        <w:lastRenderedPageBreak/>
        <w:t>Certain rules apply if the %DI or %RDI information provided in the NIP as outlined above is also presented outside the NIP, for example on the front of a food label. The %DI and %RDI information must be presented together with the serving size of the food. If more than one %DI or %RDI value is presented outside the NIP, those values must be presented together. Information that is presented in accordance with these requirements is not considered to be a nutrition content claim.</w:t>
      </w:r>
    </w:p>
    <w:p w14:paraId="438BBC0D" w14:textId="77777777" w:rsidR="003E0646" w:rsidRDefault="003E0646" w:rsidP="007B30E2">
      <w:pPr>
        <w:widowControl/>
      </w:pPr>
    </w:p>
    <w:p w14:paraId="191C7EC3" w14:textId="77777777" w:rsidR="003E0646" w:rsidRDefault="003E0646" w:rsidP="007B30E2">
      <w:pPr>
        <w:widowControl/>
        <w:sectPr w:rsidR="003E0646" w:rsidSect="005A572E">
          <w:footerReference w:type="default" r:id="rId23"/>
          <w:pgSz w:w="11906" w:h="16838" w:code="9"/>
          <w:pgMar w:top="1440" w:right="1440" w:bottom="1440" w:left="1440" w:header="709" w:footer="709" w:gutter="0"/>
          <w:pgNumType w:start="1"/>
          <w:cols w:space="708"/>
          <w:docGrid w:linePitch="360"/>
        </w:sectPr>
      </w:pPr>
    </w:p>
    <w:p w14:paraId="7EC5D035" w14:textId="74277675" w:rsidR="004038E1" w:rsidRPr="00343949" w:rsidRDefault="003E0646" w:rsidP="004038E1">
      <w:pPr>
        <w:pStyle w:val="Heading2"/>
        <w:ind w:left="0" w:firstLine="0"/>
      </w:pPr>
      <w:bookmarkStart w:id="34" w:name="_Toc389651577"/>
      <w:bookmarkStart w:id="35" w:name="_Toc405365756"/>
      <w:bookmarkStart w:id="36" w:name="_Toc437416156"/>
      <w:r>
        <w:lastRenderedPageBreak/>
        <w:t>Attachment B</w:t>
      </w:r>
      <w:r w:rsidR="00084690">
        <w:t xml:space="preserve"> – </w:t>
      </w:r>
      <w:r w:rsidR="004038E1" w:rsidRPr="00E9695A">
        <w:t xml:space="preserve">Requirements for </w:t>
      </w:r>
      <w:bookmarkEnd w:id="34"/>
      <w:r w:rsidR="00C30339">
        <w:t xml:space="preserve">the </w:t>
      </w:r>
      <w:r w:rsidR="004038E1">
        <w:t>declaration of energy and nutrients in nutrition information panels in Australia/New Zealand, Canada, the USA, the EU and from Codex</w:t>
      </w:r>
      <w:bookmarkEnd w:id="35"/>
      <w:bookmarkEnd w:id="36"/>
    </w:p>
    <w:tbl>
      <w:tblPr>
        <w:tblStyle w:val="TableGrid"/>
        <w:tblW w:w="13892" w:type="dxa"/>
        <w:tblLook w:val="04A0" w:firstRow="1" w:lastRow="0" w:firstColumn="1" w:lastColumn="0" w:noHBand="0" w:noVBand="1"/>
      </w:tblPr>
      <w:tblGrid>
        <w:gridCol w:w="2779"/>
        <w:gridCol w:w="2779"/>
        <w:gridCol w:w="2778"/>
        <w:gridCol w:w="2778"/>
        <w:gridCol w:w="2778"/>
      </w:tblGrid>
      <w:tr w:rsidR="004038E1" w:rsidRPr="00121FA3" w14:paraId="7EC5D03C" w14:textId="77777777" w:rsidTr="00CE4CC6">
        <w:trPr>
          <w:tblHeader/>
        </w:trPr>
        <w:tc>
          <w:tcPr>
            <w:tcW w:w="2551" w:type="dxa"/>
            <w:shd w:val="clear" w:color="auto" w:fill="D9D9D9" w:themeFill="background1" w:themeFillShade="D9"/>
          </w:tcPr>
          <w:p w14:paraId="7EC5D036" w14:textId="77777777" w:rsidR="004038E1" w:rsidRPr="00143783" w:rsidRDefault="004038E1" w:rsidP="004038E1">
            <w:pPr>
              <w:rPr>
                <w:rFonts w:cs="Arial"/>
                <w:b/>
                <w:sz w:val="18"/>
                <w:szCs w:val="18"/>
              </w:rPr>
            </w:pPr>
            <w:r w:rsidRPr="00143783">
              <w:rPr>
                <w:rFonts w:cs="Arial"/>
                <w:b/>
                <w:sz w:val="18"/>
                <w:szCs w:val="18"/>
              </w:rPr>
              <w:t>Australia/New Zealand</w:t>
            </w:r>
            <w:r w:rsidRPr="00143783">
              <w:rPr>
                <w:rFonts w:cs="Arial"/>
                <w:b/>
                <w:sz w:val="18"/>
                <w:szCs w:val="18"/>
                <w:vertAlign w:val="superscript"/>
              </w:rPr>
              <w:t>2</w:t>
            </w:r>
          </w:p>
        </w:tc>
        <w:tc>
          <w:tcPr>
            <w:tcW w:w="2551" w:type="dxa"/>
            <w:shd w:val="clear" w:color="auto" w:fill="D9D9D9" w:themeFill="background1" w:themeFillShade="D9"/>
          </w:tcPr>
          <w:p w14:paraId="7EC5D037" w14:textId="77777777" w:rsidR="004038E1" w:rsidRPr="00143783" w:rsidRDefault="004038E1" w:rsidP="004038E1">
            <w:pPr>
              <w:rPr>
                <w:rFonts w:cs="Arial"/>
                <w:b/>
                <w:sz w:val="18"/>
                <w:szCs w:val="18"/>
              </w:rPr>
            </w:pPr>
            <w:r w:rsidRPr="00143783">
              <w:rPr>
                <w:rFonts w:cs="Arial"/>
                <w:b/>
                <w:sz w:val="18"/>
                <w:szCs w:val="18"/>
              </w:rPr>
              <w:t>Canada</w:t>
            </w:r>
            <w:r w:rsidRPr="00143783">
              <w:rPr>
                <w:rFonts w:cs="Arial"/>
                <w:b/>
                <w:sz w:val="18"/>
                <w:szCs w:val="18"/>
                <w:vertAlign w:val="superscript"/>
              </w:rPr>
              <w:t>3</w:t>
            </w:r>
          </w:p>
        </w:tc>
        <w:tc>
          <w:tcPr>
            <w:tcW w:w="2551" w:type="dxa"/>
            <w:shd w:val="clear" w:color="auto" w:fill="D9D9D9" w:themeFill="background1" w:themeFillShade="D9"/>
          </w:tcPr>
          <w:p w14:paraId="7EC5D038" w14:textId="77777777" w:rsidR="004038E1" w:rsidRPr="00143783" w:rsidRDefault="004038E1" w:rsidP="004038E1">
            <w:pPr>
              <w:rPr>
                <w:rFonts w:cs="Arial"/>
                <w:b/>
                <w:sz w:val="18"/>
                <w:szCs w:val="18"/>
              </w:rPr>
            </w:pPr>
            <w:r w:rsidRPr="00143783">
              <w:rPr>
                <w:rFonts w:cs="Arial"/>
                <w:b/>
                <w:sz w:val="18"/>
                <w:szCs w:val="18"/>
              </w:rPr>
              <w:t>US</w:t>
            </w:r>
            <w:r>
              <w:rPr>
                <w:rFonts w:cs="Arial"/>
                <w:b/>
                <w:sz w:val="18"/>
                <w:szCs w:val="18"/>
              </w:rPr>
              <w:t>A</w:t>
            </w:r>
            <w:r w:rsidRPr="00143783">
              <w:rPr>
                <w:rFonts w:cs="Arial"/>
                <w:b/>
                <w:sz w:val="18"/>
                <w:szCs w:val="18"/>
                <w:vertAlign w:val="superscript"/>
              </w:rPr>
              <w:t>4</w:t>
            </w:r>
          </w:p>
        </w:tc>
        <w:tc>
          <w:tcPr>
            <w:tcW w:w="2551" w:type="dxa"/>
            <w:shd w:val="clear" w:color="auto" w:fill="D9D9D9" w:themeFill="background1" w:themeFillShade="D9"/>
          </w:tcPr>
          <w:p w14:paraId="7EC5D039" w14:textId="77777777" w:rsidR="004038E1" w:rsidRPr="00143783" w:rsidRDefault="004038E1" w:rsidP="004038E1">
            <w:pPr>
              <w:rPr>
                <w:rFonts w:cs="Arial"/>
                <w:b/>
                <w:sz w:val="18"/>
                <w:szCs w:val="18"/>
              </w:rPr>
            </w:pPr>
            <w:r w:rsidRPr="00143783">
              <w:rPr>
                <w:rFonts w:cs="Arial"/>
                <w:b/>
                <w:sz w:val="18"/>
                <w:szCs w:val="18"/>
              </w:rPr>
              <w:t>EU including the UK</w:t>
            </w:r>
            <w:r w:rsidRPr="00143783">
              <w:rPr>
                <w:rFonts w:cs="Arial"/>
                <w:b/>
                <w:sz w:val="18"/>
                <w:szCs w:val="18"/>
                <w:vertAlign w:val="superscript"/>
              </w:rPr>
              <w:t>5, 6</w:t>
            </w:r>
          </w:p>
        </w:tc>
        <w:tc>
          <w:tcPr>
            <w:tcW w:w="2551" w:type="dxa"/>
            <w:shd w:val="clear" w:color="auto" w:fill="D9D9D9" w:themeFill="background1" w:themeFillShade="D9"/>
          </w:tcPr>
          <w:p w14:paraId="7EC5D03A" w14:textId="77777777" w:rsidR="004038E1" w:rsidRPr="00143783" w:rsidRDefault="004038E1" w:rsidP="004038E1">
            <w:pPr>
              <w:rPr>
                <w:rFonts w:cs="Arial"/>
                <w:b/>
                <w:sz w:val="18"/>
                <w:szCs w:val="18"/>
              </w:rPr>
            </w:pPr>
            <w:r w:rsidRPr="00143783">
              <w:rPr>
                <w:rFonts w:cs="Arial"/>
                <w:b/>
                <w:sz w:val="18"/>
                <w:szCs w:val="18"/>
              </w:rPr>
              <w:t>Codex</w:t>
            </w:r>
          </w:p>
          <w:p w14:paraId="7EC5D03B" w14:textId="77777777" w:rsidR="004038E1" w:rsidRPr="00143783" w:rsidRDefault="004038E1" w:rsidP="004038E1">
            <w:pPr>
              <w:rPr>
                <w:rFonts w:cs="Arial"/>
                <w:b/>
                <w:sz w:val="18"/>
                <w:szCs w:val="18"/>
              </w:rPr>
            </w:pPr>
            <w:r w:rsidRPr="00143783">
              <w:rPr>
                <w:rFonts w:cs="Arial"/>
                <w:b/>
                <w:sz w:val="18"/>
                <w:szCs w:val="18"/>
              </w:rPr>
              <w:t>Guidelines for Nutrition Labelling</w:t>
            </w:r>
            <w:r w:rsidRPr="00143783">
              <w:rPr>
                <w:rFonts w:cs="Arial"/>
                <w:b/>
                <w:sz w:val="18"/>
                <w:szCs w:val="18"/>
                <w:vertAlign w:val="superscript"/>
              </w:rPr>
              <w:t>7</w:t>
            </w:r>
          </w:p>
        </w:tc>
      </w:tr>
      <w:tr w:rsidR="004038E1" w14:paraId="7EC5D06C" w14:textId="77777777" w:rsidTr="004038E1">
        <w:tc>
          <w:tcPr>
            <w:tcW w:w="2551" w:type="dxa"/>
          </w:tcPr>
          <w:p w14:paraId="7EC5D03D" w14:textId="6912C3FB" w:rsidR="004038E1" w:rsidRDefault="004038E1" w:rsidP="004038E1">
            <w:pPr>
              <w:rPr>
                <w:rFonts w:cs="Arial"/>
                <w:sz w:val="18"/>
                <w:szCs w:val="18"/>
              </w:rPr>
            </w:pPr>
            <w:r>
              <w:rPr>
                <w:rFonts w:cs="Arial"/>
                <w:sz w:val="18"/>
                <w:szCs w:val="18"/>
              </w:rPr>
              <w:t xml:space="preserve">The nutrition information panel </w:t>
            </w:r>
            <w:r w:rsidR="00C30339">
              <w:rPr>
                <w:rFonts w:cs="Arial"/>
                <w:sz w:val="18"/>
                <w:szCs w:val="18"/>
              </w:rPr>
              <w:t xml:space="preserve">(NIP) </w:t>
            </w:r>
            <w:r>
              <w:rPr>
                <w:rFonts w:cs="Arial"/>
                <w:sz w:val="18"/>
                <w:szCs w:val="18"/>
              </w:rPr>
              <w:t>is mandatory for most packaged foods. Energy</w:t>
            </w:r>
            <w:r w:rsidR="00C30339">
              <w:rPr>
                <w:rFonts w:cs="Arial"/>
                <w:sz w:val="18"/>
                <w:szCs w:val="18"/>
              </w:rPr>
              <w:t xml:space="preserve">, </w:t>
            </w:r>
            <w:r>
              <w:rPr>
                <w:rFonts w:cs="Arial"/>
                <w:sz w:val="18"/>
                <w:szCs w:val="18"/>
              </w:rPr>
              <w:t xml:space="preserve"> the mandatory nutrients and any other nutrients in the panel are required to be listed per serving and per 100 g/100 mL in the NIP. </w:t>
            </w:r>
          </w:p>
          <w:p w14:paraId="7EC5D03E" w14:textId="77777777" w:rsidR="004038E1" w:rsidRDefault="004038E1" w:rsidP="004038E1">
            <w:pPr>
              <w:rPr>
                <w:rFonts w:cs="Arial"/>
                <w:sz w:val="18"/>
                <w:szCs w:val="18"/>
              </w:rPr>
            </w:pPr>
          </w:p>
          <w:p w14:paraId="7EC5D03F" w14:textId="77777777" w:rsidR="004038E1" w:rsidRPr="00664B44" w:rsidRDefault="004038E1" w:rsidP="004038E1">
            <w:pPr>
              <w:rPr>
                <w:rFonts w:cs="Arial"/>
                <w:sz w:val="18"/>
                <w:szCs w:val="18"/>
              </w:rPr>
            </w:pPr>
            <w:r w:rsidRPr="00664B44">
              <w:rPr>
                <w:rFonts w:cs="Arial"/>
                <w:sz w:val="18"/>
                <w:szCs w:val="18"/>
              </w:rPr>
              <w:t>A NIP must include the average quantity of food in a serving and the number of servings of the food in the package expressed as either:</w:t>
            </w:r>
          </w:p>
          <w:p w14:paraId="7EC5D040" w14:textId="77777777" w:rsidR="004038E1" w:rsidRPr="00664B44" w:rsidRDefault="004038E1" w:rsidP="004038E1">
            <w:pPr>
              <w:rPr>
                <w:rFonts w:cs="Arial"/>
                <w:sz w:val="18"/>
                <w:szCs w:val="18"/>
              </w:rPr>
            </w:pPr>
          </w:p>
          <w:p w14:paraId="7EC5D041" w14:textId="77777777" w:rsidR="004038E1" w:rsidRPr="00664B44" w:rsidRDefault="004038E1" w:rsidP="002119B3">
            <w:pPr>
              <w:pStyle w:val="FSBullet1"/>
              <w:numPr>
                <w:ilvl w:val="0"/>
                <w:numId w:val="7"/>
              </w:numPr>
              <w:tabs>
                <w:tab w:val="num" w:pos="284"/>
              </w:tabs>
              <w:ind w:left="284" w:hanging="284"/>
              <w:rPr>
                <w:sz w:val="18"/>
                <w:szCs w:val="18"/>
              </w:rPr>
            </w:pPr>
            <w:r w:rsidRPr="00664B44">
              <w:rPr>
                <w:sz w:val="18"/>
                <w:szCs w:val="18"/>
              </w:rPr>
              <w:t>the number of servings of the food, or</w:t>
            </w:r>
          </w:p>
          <w:p w14:paraId="7EC5D042" w14:textId="77777777" w:rsidR="004038E1" w:rsidRPr="00664B44" w:rsidRDefault="004038E1" w:rsidP="002119B3">
            <w:pPr>
              <w:pStyle w:val="FSBullet1"/>
              <w:numPr>
                <w:ilvl w:val="0"/>
                <w:numId w:val="7"/>
              </w:numPr>
              <w:tabs>
                <w:tab w:val="num" w:pos="284"/>
              </w:tabs>
              <w:ind w:left="284" w:hanging="284"/>
              <w:rPr>
                <w:sz w:val="18"/>
                <w:szCs w:val="18"/>
              </w:rPr>
            </w:pPr>
            <w:r w:rsidRPr="00664B44">
              <w:rPr>
                <w:sz w:val="18"/>
                <w:szCs w:val="18"/>
              </w:rPr>
              <w:t>where the weight or volume of the packaged foods is variable, the number of servings of the food per kg, or other units as appropriate.</w:t>
            </w:r>
          </w:p>
          <w:p w14:paraId="7EC5D043" w14:textId="77777777" w:rsidR="004038E1" w:rsidRPr="00664B44" w:rsidRDefault="004038E1" w:rsidP="004038E1">
            <w:pPr>
              <w:rPr>
                <w:rFonts w:cs="Arial"/>
                <w:sz w:val="18"/>
                <w:szCs w:val="18"/>
              </w:rPr>
            </w:pPr>
          </w:p>
          <w:p w14:paraId="7EC5D044" w14:textId="77777777" w:rsidR="004038E1" w:rsidRPr="00664B44" w:rsidRDefault="004038E1" w:rsidP="004038E1">
            <w:pPr>
              <w:rPr>
                <w:rFonts w:cs="Arial"/>
                <w:sz w:val="18"/>
                <w:szCs w:val="18"/>
              </w:rPr>
            </w:pPr>
            <w:r w:rsidRPr="00664B44">
              <w:rPr>
                <w:rFonts w:cs="Arial"/>
                <w:sz w:val="18"/>
                <w:szCs w:val="18"/>
              </w:rPr>
              <w:t>The word ‘slice’, ‘pack’, or ‘package’ may replace the term ‘serving’. For example, one slice of bread (28 g) may be used to represent a serving. The word ‘serving’ may also be replaced with any other appropriate word describing a common measure or unit including ‘metric cup’ or ‘metric tablespoon’.</w:t>
            </w:r>
          </w:p>
          <w:p w14:paraId="7EC5D046" w14:textId="77777777" w:rsidR="004038E1" w:rsidRPr="00664B44" w:rsidRDefault="004038E1" w:rsidP="004038E1">
            <w:pPr>
              <w:rPr>
                <w:rFonts w:cs="Arial"/>
                <w:sz w:val="18"/>
                <w:szCs w:val="18"/>
              </w:rPr>
            </w:pPr>
            <w:r w:rsidRPr="00664B44">
              <w:rPr>
                <w:rFonts w:cs="Arial"/>
                <w:sz w:val="18"/>
                <w:szCs w:val="18"/>
              </w:rPr>
              <w:lastRenderedPageBreak/>
              <w:t>Serving size is determined by the manufacturer.</w:t>
            </w:r>
          </w:p>
          <w:p w14:paraId="7EC5D047" w14:textId="77777777" w:rsidR="004038E1" w:rsidRDefault="004038E1" w:rsidP="004038E1">
            <w:pPr>
              <w:rPr>
                <w:rFonts w:cs="Arial"/>
                <w:sz w:val="18"/>
                <w:szCs w:val="18"/>
              </w:rPr>
            </w:pPr>
          </w:p>
          <w:p w14:paraId="7EC5D048" w14:textId="170A0BC9" w:rsidR="004038E1" w:rsidRPr="00121FA3" w:rsidRDefault="004038E1" w:rsidP="00C30339">
            <w:pPr>
              <w:rPr>
                <w:rFonts w:cs="Arial"/>
                <w:sz w:val="18"/>
                <w:szCs w:val="18"/>
              </w:rPr>
            </w:pPr>
            <w:r>
              <w:rPr>
                <w:rFonts w:cs="Arial"/>
                <w:sz w:val="18"/>
                <w:szCs w:val="18"/>
              </w:rPr>
              <w:t xml:space="preserve">Where the average quantity of energy and nutrients are less than levels specified in the Code, a ‘less than..’ statement can be used in the </w:t>
            </w:r>
            <w:r w:rsidR="00C30339">
              <w:rPr>
                <w:rFonts w:cs="Arial"/>
                <w:sz w:val="18"/>
                <w:szCs w:val="18"/>
              </w:rPr>
              <w:t>NIP</w:t>
            </w:r>
            <w:r>
              <w:rPr>
                <w:rFonts w:cs="Arial"/>
                <w:sz w:val="18"/>
                <w:szCs w:val="18"/>
              </w:rPr>
              <w:t>.</w:t>
            </w:r>
          </w:p>
        </w:tc>
        <w:tc>
          <w:tcPr>
            <w:tcW w:w="2551" w:type="dxa"/>
          </w:tcPr>
          <w:p w14:paraId="7EC5D049" w14:textId="0B1DF343" w:rsidR="004038E1" w:rsidRDefault="004038E1" w:rsidP="004038E1">
            <w:pPr>
              <w:rPr>
                <w:rFonts w:cs="Arial"/>
                <w:sz w:val="18"/>
                <w:szCs w:val="18"/>
              </w:rPr>
            </w:pPr>
            <w:r>
              <w:rPr>
                <w:rFonts w:cs="Arial"/>
                <w:sz w:val="18"/>
                <w:szCs w:val="18"/>
              </w:rPr>
              <w:lastRenderedPageBreak/>
              <w:t>The nutrition facts table is mandatory for most packaged foods. Energy</w:t>
            </w:r>
            <w:r w:rsidR="00C30339">
              <w:rPr>
                <w:rFonts w:cs="Arial"/>
                <w:sz w:val="18"/>
                <w:szCs w:val="18"/>
              </w:rPr>
              <w:t>,</w:t>
            </w:r>
            <w:r>
              <w:rPr>
                <w:rFonts w:cs="Arial"/>
                <w:sz w:val="18"/>
                <w:szCs w:val="18"/>
              </w:rPr>
              <w:t xml:space="preserve"> mandatory nutrients and any other nutrients in the table are required to be listed per serving. Values for % Daily Value are also required for total fat, saturated </w:t>
            </w:r>
            <w:r w:rsidR="00C30339">
              <w:rPr>
                <w:rFonts w:cs="Arial"/>
                <w:sz w:val="18"/>
                <w:szCs w:val="18"/>
              </w:rPr>
              <w:t>and</w:t>
            </w:r>
            <w:r>
              <w:rPr>
                <w:rFonts w:cs="Arial"/>
                <w:sz w:val="18"/>
                <w:szCs w:val="18"/>
              </w:rPr>
              <w:t xml:space="preserve"> trans fat together, cholesterol, sodium, total carbohydrate, dietary fibre, vitamin C, vitamin A, calcium, iron and any declared vitamins and minerals. Declaration of % Daily Value for cholesterol is optional.</w:t>
            </w:r>
          </w:p>
          <w:p w14:paraId="7EC5D04A" w14:textId="77777777" w:rsidR="004038E1" w:rsidRDefault="004038E1" w:rsidP="004038E1">
            <w:pPr>
              <w:rPr>
                <w:rFonts w:cs="Arial"/>
                <w:sz w:val="18"/>
                <w:szCs w:val="18"/>
              </w:rPr>
            </w:pPr>
          </w:p>
          <w:p w14:paraId="7EC5D04B" w14:textId="77777777" w:rsidR="004038E1" w:rsidRDefault="004038E1" w:rsidP="004038E1">
            <w:pPr>
              <w:rPr>
                <w:rFonts w:cs="Arial"/>
                <w:sz w:val="18"/>
                <w:szCs w:val="18"/>
              </w:rPr>
            </w:pPr>
            <w:r>
              <w:rPr>
                <w:rFonts w:cs="Arial"/>
                <w:sz w:val="18"/>
                <w:szCs w:val="18"/>
              </w:rPr>
              <w:t xml:space="preserve">The nutrition facts table must include the serving size (expressed as a consumer friendly measure followed by the equivalent metric quantity) and the number of servings per container. </w:t>
            </w:r>
          </w:p>
          <w:p w14:paraId="7EC5D04C" w14:textId="77777777" w:rsidR="004038E1" w:rsidRDefault="004038E1" w:rsidP="004038E1">
            <w:pPr>
              <w:rPr>
                <w:rFonts w:cs="Arial"/>
                <w:sz w:val="18"/>
                <w:szCs w:val="18"/>
              </w:rPr>
            </w:pPr>
          </w:p>
          <w:p w14:paraId="7EC5D04D" w14:textId="77777777" w:rsidR="004038E1" w:rsidRPr="003F2BA4" w:rsidRDefault="004038E1" w:rsidP="004038E1">
            <w:pPr>
              <w:rPr>
                <w:rFonts w:cs="Arial"/>
                <w:sz w:val="18"/>
                <w:szCs w:val="18"/>
              </w:rPr>
            </w:pPr>
            <w:r w:rsidRPr="003F2BA4">
              <w:rPr>
                <w:rFonts w:cs="Arial"/>
                <w:sz w:val="18"/>
                <w:szCs w:val="18"/>
              </w:rPr>
              <w:t>The manufacturer has some flexibilit</w:t>
            </w:r>
            <w:r>
              <w:rPr>
                <w:rFonts w:cs="Arial"/>
                <w:sz w:val="18"/>
                <w:szCs w:val="18"/>
              </w:rPr>
              <w:t xml:space="preserve">y in determining serving sizes. </w:t>
            </w:r>
            <w:r w:rsidRPr="003F2BA4">
              <w:rPr>
                <w:rFonts w:cs="Arial"/>
                <w:sz w:val="18"/>
                <w:szCs w:val="18"/>
              </w:rPr>
              <w:t>A list of reasonable serving sizes is available in the</w:t>
            </w:r>
            <w:r>
              <w:rPr>
                <w:rFonts w:cs="Arial"/>
                <w:sz w:val="18"/>
                <w:szCs w:val="18"/>
              </w:rPr>
              <w:t xml:space="preserve"> regulations</w:t>
            </w:r>
            <w:r w:rsidRPr="003F2BA4">
              <w:rPr>
                <w:rFonts w:cs="Arial"/>
                <w:sz w:val="18"/>
                <w:szCs w:val="18"/>
              </w:rPr>
              <w:t>, and it may be used as a reference tool and guide when evaluating the appropriateness of a serving size.</w:t>
            </w:r>
          </w:p>
          <w:p w14:paraId="7EC5D04E" w14:textId="77777777" w:rsidR="004038E1" w:rsidRPr="003F2BA4" w:rsidRDefault="004038E1" w:rsidP="004038E1">
            <w:pPr>
              <w:rPr>
                <w:rFonts w:cs="Arial"/>
                <w:sz w:val="18"/>
                <w:szCs w:val="18"/>
              </w:rPr>
            </w:pPr>
          </w:p>
          <w:p w14:paraId="7EC5D04F" w14:textId="77777777" w:rsidR="004038E1" w:rsidRPr="00121FA3" w:rsidRDefault="004038E1" w:rsidP="004038E1">
            <w:pPr>
              <w:rPr>
                <w:rFonts w:cs="Arial"/>
                <w:sz w:val="18"/>
                <w:szCs w:val="18"/>
              </w:rPr>
            </w:pPr>
            <w:r w:rsidRPr="003F2BA4">
              <w:rPr>
                <w:rFonts w:cs="Arial"/>
                <w:sz w:val="18"/>
                <w:szCs w:val="18"/>
              </w:rPr>
              <w:lastRenderedPageBreak/>
              <w:t>Manufacturers have the option of using serving sizes that differ from the suggestions in the table provided they are reasonable and not misleading. Note that there are very specific requirements for single serving containers.</w:t>
            </w:r>
          </w:p>
        </w:tc>
        <w:tc>
          <w:tcPr>
            <w:tcW w:w="2551" w:type="dxa"/>
          </w:tcPr>
          <w:p w14:paraId="7EC5D050" w14:textId="141EBE8B" w:rsidR="004038E1" w:rsidRDefault="004038E1" w:rsidP="004038E1">
            <w:pPr>
              <w:rPr>
                <w:rFonts w:cs="Arial"/>
                <w:sz w:val="18"/>
                <w:szCs w:val="18"/>
              </w:rPr>
            </w:pPr>
            <w:r>
              <w:rPr>
                <w:rFonts w:cs="Arial"/>
                <w:sz w:val="18"/>
                <w:szCs w:val="18"/>
              </w:rPr>
              <w:lastRenderedPageBreak/>
              <w:t>The nutrition facts panel is mandatory for most packaged foods. Energy</w:t>
            </w:r>
            <w:r w:rsidR="00C30339">
              <w:rPr>
                <w:rFonts w:cs="Arial"/>
                <w:sz w:val="18"/>
                <w:szCs w:val="18"/>
              </w:rPr>
              <w:t>,</w:t>
            </w:r>
            <w:r>
              <w:rPr>
                <w:rFonts w:cs="Arial"/>
                <w:sz w:val="18"/>
                <w:szCs w:val="18"/>
              </w:rPr>
              <w:t xml:space="preserve"> mandatory nutrients and any other nutrients in the panel are required to be listed per serving. Energy per serving from fat is also required. If the amounts per serving are less than a specified level, a label statement ‘Not a significant source of…..’ can be used. Values for % Daily Value are also required for total fat, saturated fat, cholesterol, sodium, total carbohydrate, dietary fibre, vitamin C, vitamin A, calcium, </w:t>
            </w:r>
            <w:r w:rsidR="00EF032D">
              <w:rPr>
                <w:rFonts w:cs="Arial"/>
                <w:sz w:val="18"/>
                <w:szCs w:val="18"/>
              </w:rPr>
              <w:t>iron and</w:t>
            </w:r>
            <w:r>
              <w:rPr>
                <w:rFonts w:cs="Arial"/>
                <w:sz w:val="18"/>
                <w:szCs w:val="18"/>
              </w:rPr>
              <w:t xml:space="preserve"> any other declared vitamins and minerals.</w:t>
            </w:r>
          </w:p>
          <w:p w14:paraId="7EC5D051" w14:textId="77777777" w:rsidR="004038E1" w:rsidRDefault="004038E1" w:rsidP="004038E1">
            <w:pPr>
              <w:rPr>
                <w:rFonts w:cs="Arial"/>
                <w:sz w:val="18"/>
                <w:szCs w:val="18"/>
              </w:rPr>
            </w:pPr>
          </w:p>
          <w:p w14:paraId="7EC5D052" w14:textId="77777777" w:rsidR="004038E1" w:rsidRDefault="004038E1" w:rsidP="004038E1">
            <w:pPr>
              <w:rPr>
                <w:rFonts w:cs="Arial"/>
                <w:sz w:val="18"/>
                <w:szCs w:val="18"/>
              </w:rPr>
            </w:pPr>
            <w:r>
              <w:rPr>
                <w:rFonts w:cs="Arial"/>
                <w:sz w:val="18"/>
                <w:szCs w:val="18"/>
              </w:rPr>
              <w:t xml:space="preserve">The nutrition facts panel must include the serving size (expressed as a common household measure followed by the equivalent metric quantity) and the number of servings per container. </w:t>
            </w:r>
          </w:p>
          <w:p w14:paraId="7EC5D053" w14:textId="77777777" w:rsidR="004038E1" w:rsidRDefault="004038E1" w:rsidP="004038E1">
            <w:pPr>
              <w:rPr>
                <w:rFonts w:cs="Arial"/>
                <w:sz w:val="18"/>
                <w:szCs w:val="18"/>
              </w:rPr>
            </w:pPr>
          </w:p>
          <w:p w14:paraId="0DDA5782" w14:textId="77777777" w:rsidR="00CE4CC6" w:rsidRDefault="004038E1" w:rsidP="004038E1">
            <w:pPr>
              <w:rPr>
                <w:rFonts w:cs="Arial"/>
                <w:sz w:val="18"/>
                <w:szCs w:val="18"/>
              </w:rPr>
            </w:pPr>
            <w:r>
              <w:rPr>
                <w:rFonts w:cs="Arial"/>
                <w:sz w:val="18"/>
                <w:szCs w:val="18"/>
              </w:rPr>
              <w:t xml:space="preserve">The FDA has established Reference Amounts Customarily Consumed (RACCs) for 39 food product categories in the Food and Drugs Act. </w:t>
            </w:r>
          </w:p>
          <w:p w14:paraId="01717FDD" w14:textId="77777777" w:rsidR="00CE4CC6" w:rsidRDefault="00CE4CC6" w:rsidP="004038E1">
            <w:pPr>
              <w:rPr>
                <w:rFonts w:cs="Arial"/>
                <w:sz w:val="18"/>
                <w:szCs w:val="18"/>
              </w:rPr>
            </w:pPr>
          </w:p>
          <w:p w14:paraId="7EC5D054" w14:textId="7A42E8B2" w:rsidR="004038E1" w:rsidRDefault="004038E1" w:rsidP="004038E1">
            <w:pPr>
              <w:rPr>
                <w:rFonts w:cs="Arial"/>
                <w:sz w:val="18"/>
                <w:szCs w:val="18"/>
              </w:rPr>
            </w:pPr>
            <w:r>
              <w:rPr>
                <w:rFonts w:cs="Arial"/>
                <w:sz w:val="18"/>
                <w:szCs w:val="18"/>
              </w:rPr>
              <w:lastRenderedPageBreak/>
              <w:t>The RACCs are used to derive serving sizes in accordance with requirements in the regulations.</w:t>
            </w:r>
          </w:p>
          <w:p w14:paraId="7EC5D055" w14:textId="77777777" w:rsidR="004038E1" w:rsidRDefault="004038E1" w:rsidP="004038E1">
            <w:pPr>
              <w:rPr>
                <w:rFonts w:cs="Arial"/>
                <w:sz w:val="18"/>
                <w:szCs w:val="18"/>
              </w:rPr>
            </w:pPr>
          </w:p>
          <w:p w14:paraId="7EC5D056" w14:textId="77777777" w:rsidR="004038E1" w:rsidRPr="00121FA3" w:rsidRDefault="004038E1" w:rsidP="004038E1">
            <w:pPr>
              <w:rPr>
                <w:rFonts w:cs="Arial"/>
                <w:sz w:val="18"/>
                <w:szCs w:val="18"/>
              </w:rPr>
            </w:pPr>
            <w:r>
              <w:rPr>
                <w:rFonts w:cs="Arial"/>
                <w:sz w:val="18"/>
                <w:szCs w:val="18"/>
              </w:rPr>
              <w:t xml:space="preserve">The voluntary listing of nutrition information per 100 g or per 100 mL is permitted.  </w:t>
            </w:r>
          </w:p>
        </w:tc>
        <w:tc>
          <w:tcPr>
            <w:tcW w:w="2551" w:type="dxa"/>
          </w:tcPr>
          <w:p w14:paraId="7EC5D057" w14:textId="52D61F18" w:rsidR="004038E1" w:rsidRDefault="004038E1" w:rsidP="004038E1">
            <w:pPr>
              <w:rPr>
                <w:rFonts w:cs="Arial"/>
                <w:sz w:val="18"/>
                <w:szCs w:val="18"/>
              </w:rPr>
            </w:pPr>
            <w:r>
              <w:rPr>
                <w:rFonts w:cs="Arial"/>
                <w:sz w:val="18"/>
                <w:szCs w:val="18"/>
              </w:rPr>
              <w:lastRenderedPageBreak/>
              <w:t>The nutrition table is mandatory for most packaged foods. Energy</w:t>
            </w:r>
            <w:r w:rsidR="00C30339">
              <w:rPr>
                <w:rFonts w:cs="Arial"/>
                <w:sz w:val="18"/>
                <w:szCs w:val="18"/>
              </w:rPr>
              <w:t>,</w:t>
            </w:r>
            <w:r>
              <w:rPr>
                <w:rFonts w:cs="Arial"/>
                <w:sz w:val="18"/>
                <w:szCs w:val="18"/>
              </w:rPr>
              <w:t xml:space="preserve"> mandatory nutrients and any other nutrients in the table are required to be listed per 100 g or 100 mL. When vitamins and minerals are included in the table, they must also be expressed as a percentage of reference intakes per 100 g/100 mL.</w:t>
            </w:r>
          </w:p>
          <w:p w14:paraId="7EC5D058" w14:textId="77777777" w:rsidR="004038E1" w:rsidRDefault="004038E1" w:rsidP="004038E1">
            <w:pPr>
              <w:rPr>
                <w:rFonts w:cs="Arial"/>
                <w:sz w:val="18"/>
                <w:szCs w:val="18"/>
              </w:rPr>
            </w:pPr>
          </w:p>
          <w:p w14:paraId="7EC5D059" w14:textId="77777777" w:rsidR="004038E1" w:rsidRDefault="004038E1" w:rsidP="004038E1">
            <w:pPr>
              <w:rPr>
                <w:rFonts w:cs="Arial"/>
                <w:sz w:val="18"/>
                <w:szCs w:val="18"/>
              </w:rPr>
            </w:pPr>
            <w:r>
              <w:rPr>
                <w:rFonts w:cs="Arial"/>
                <w:sz w:val="18"/>
                <w:szCs w:val="18"/>
              </w:rPr>
              <w:t>The inclusion of the percentage of reference intakes (% Guideline Daily Amount (%GDA)) for energy and the mandated nutrients in the nutrition table is voluntary. %GDA values are not permitted for the voluntary nutrients. %GDA values may be expressed per serving or per 100 g/100 mL.</w:t>
            </w:r>
          </w:p>
          <w:p w14:paraId="7EC5D05A" w14:textId="77777777" w:rsidR="004038E1" w:rsidRDefault="004038E1" w:rsidP="004038E1">
            <w:pPr>
              <w:rPr>
                <w:rFonts w:cs="Arial"/>
                <w:sz w:val="18"/>
                <w:szCs w:val="18"/>
              </w:rPr>
            </w:pPr>
          </w:p>
          <w:p w14:paraId="65A35E1E" w14:textId="77777777" w:rsidR="00CE4CC6" w:rsidRDefault="004038E1" w:rsidP="004038E1">
            <w:pPr>
              <w:rPr>
                <w:rFonts w:cs="Arial"/>
                <w:sz w:val="18"/>
                <w:szCs w:val="18"/>
              </w:rPr>
            </w:pPr>
            <w:r>
              <w:rPr>
                <w:rFonts w:cs="Arial"/>
                <w:sz w:val="18"/>
                <w:szCs w:val="18"/>
              </w:rPr>
              <w:t xml:space="preserve">Energy and mandatory nutrients may be expressed per portion and/or per consumption unit, provided the portion or unit is stated on the label along with the number of portions or units in the package. </w:t>
            </w:r>
          </w:p>
          <w:p w14:paraId="27DD66E5" w14:textId="77777777" w:rsidR="00CE4CC6" w:rsidRDefault="00CE4CC6" w:rsidP="004038E1">
            <w:pPr>
              <w:rPr>
                <w:rFonts w:cs="Arial"/>
                <w:sz w:val="18"/>
                <w:szCs w:val="18"/>
              </w:rPr>
            </w:pPr>
          </w:p>
          <w:p w14:paraId="5383EE5F" w14:textId="77777777" w:rsidR="00CE4CC6" w:rsidRDefault="00CE4CC6" w:rsidP="004038E1">
            <w:pPr>
              <w:rPr>
                <w:rFonts w:cs="Arial"/>
                <w:sz w:val="18"/>
                <w:szCs w:val="18"/>
              </w:rPr>
            </w:pPr>
          </w:p>
          <w:p w14:paraId="075C8E4D" w14:textId="77777777" w:rsidR="00CE4CC6" w:rsidRDefault="00CE4CC6" w:rsidP="004038E1">
            <w:pPr>
              <w:rPr>
                <w:rFonts w:cs="Arial"/>
                <w:sz w:val="18"/>
                <w:szCs w:val="18"/>
              </w:rPr>
            </w:pPr>
          </w:p>
          <w:p w14:paraId="04CBE702" w14:textId="77777777" w:rsidR="00CE4CC6" w:rsidRDefault="00CE4CC6" w:rsidP="004038E1">
            <w:pPr>
              <w:rPr>
                <w:rFonts w:cs="Arial"/>
                <w:sz w:val="18"/>
                <w:szCs w:val="18"/>
              </w:rPr>
            </w:pPr>
          </w:p>
          <w:p w14:paraId="7EC5D05B" w14:textId="73C123B6" w:rsidR="004038E1" w:rsidRDefault="004038E1" w:rsidP="004038E1">
            <w:pPr>
              <w:rPr>
                <w:rFonts w:cs="Arial"/>
                <w:sz w:val="18"/>
                <w:szCs w:val="18"/>
              </w:rPr>
            </w:pPr>
            <w:r>
              <w:rPr>
                <w:rFonts w:cs="Arial"/>
                <w:sz w:val="18"/>
                <w:szCs w:val="18"/>
              </w:rPr>
              <w:lastRenderedPageBreak/>
              <w:t>There are three cases where portions and/or consumption units may be used:</w:t>
            </w:r>
          </w:p>
          <w:p w14:paraId="7EC5D05C" w14:textId="77777777" w:rsidR="004038E1" w:rsidRDefault="004038E1" w:rsidP="004038E1">
            <w:pPr>
              <w:rPr>
                <w:rFonts w:cs="Arial"/>
                <w:sz w:val="18"/>
                <w:szCs w:val="18"/>
              </w:rPr>
            </w:pPr>
          </w:p>
          <w:p w14:paraId="7EC5D05D" w14:textId="77777777" w:rsidR="004038E1" w:rsidRPr="00927AA2" w:rsidRDefault="004038E1" w:rsidP="002119B3">
            <w:pPr>
              <w:pStyle w:val="FSBullet1"/>
              <w:numPr>
                <w:ilvl w:val="0"/>
                <w:numId w:val="7"/>
              </w:numPr>
              <w:tabs>
                <w:tab w:val="num" w:pos="567"/>
              </w:tabs>
              <w:ind w:left="285" w:hanging="285"/>
              <w:rPr>
                <w:sz w:val="18"/>
                <w:szCs w:val="18"/>
              </w:rPr>
            </w:pPr>
            <w:r w:rsidRPr="00927AA2">
              <w:rPr>
                <w:sz w:val="18"/>
                <w:szCs w:val="18"/>
              </w:rPr>
              <w:t xml:space="preserve">in addition to the mandatory expression per 100 g/100 </w:t>
            </w:r>
            <w:r>
              <w:rPr>
                <w:sz w:val="18"/>
                <w:szCs w:val="18"/>
              </w:rPr>
              <w:t>mL</w:t>
            </w:r>
            <w:r w:rsidRPr="00927AA2">
              <w:rPr>
                <w:sz w:val="18"/>
                <w:szCs w:val="18"/>
              </w:rPr>
              <w:t xml:space="preserve"> for all nutrients</w:t>
            </w:r>
          </w:p>
          <w:p w14:paraId="7EC5D05E" w14:textId="71AE4DAC" w:rsidR="004038E1" w:rsidRPr="00927AA2" w:rsidRDefault="004038E1" w:rsidP="002119B3">
            <w:pPr>
              <w:pStyle w:val="FSBullet1"/>
              <w:numPr>
                <w:ilvl w:val="0"/>
                <w:numId w:val="7"/>
              </w:numPr>
              <w:tabs>
                <w:tab w:val="num" w:pos="285"/>
              </w:tabs>
              <w:ind w:left="285" w:hanging="285"/>
              <w:rPr>
                <w:sz w:val="18"/>
                <w:szCs w:val="18"/>
              </w:rPr>
            </w:pPr>
            <w:r w:rsidRPr="00927AA2">
              <w:rPr>
                <w:sz w:val="18"/>
                <w:szCs w:val="18"/>
              </w:rPr>
              <w:t xml:space="preserve">in addition to the mandatory expression per 100 g/100 </w:t>
            </w:r>
            <w:r>
              <w:rPr>
                <w:sz w:val="18"/>
                <w:szCs w:val="18"/>
              </w:rPr>
              <w:t>mL</w:t>
            </w:r>
            <w:r w:rsidRPr="00927AA2">
              <w:rPr>
                <w:sz w:val="18"/>
                <w:szCs w:val="18"/>
              </w:rPr>
              <w:t xml:space="preserve"> and </w:t>
            </w:r>
            <w:r w:rsidR="004C1D6A">
              <w:rPr>
                <w:sz w:val="18"/>
                <w:szCs w:val="18"/>
              </w:rPr>
              <w:t>% nutrient reference values</w:t>
            </w:r>
            <w:r w:rsidRPr="00927AA2">
              <w:rPr>
                <w:sz w:val="18"/>
                <w:szCs w:val="18"/>
              </w:rPr>
              <w:t xml:space="preserve"> per 100 g/100 </w:t>
            </w:r>
            <w:r>
              <w:rPr>
                <w:sz w:val="18"/>
                <w:szCs w:val="18"/>
              </w:rPr>
              <w:t>mL</w:t>
            </w:r>
            <w:r w:rsidRPr="00927AA2">
              <w:rPr>
                <w:sz w:val="18"/>
                <w:szCs w:val="18"/>
              </w:rPr>
              <w:t xml:space="preserve"> for vitamins and minerals</w:t>
            </w:r>
          </w:p>
          <w:p w14:paraId="7EC5D060" w14:textId="315F8456" w:rsidR="004038E1" w:rsidRPr="00CE4CC6" w:rsidRDefault="004038E1" w:rsidP="004038E1">
            <w:pPr>
              <w:pStyle w:val="FSBullet1"/>
              <w:numPr>
                <w:ilvl w:val="0"/>
                <w:numId w:val="7"/>
              </w:numPr>
              <w:tabs>
                <w:tab w:val="num" w:pos="285"/>
              </w:tabs>
              <w:ind w:left="285" w:hanging="285"/>
              <w:rPr>
                <w:sz w:val="18"/>
                <w:szCs w:val="18"/>
              </w:rPr>
            </w:pPr>
            <w:r w:rsidRPr="00927AA2">
              <w:rPr>
                <w:sz w:val="18"/>
                <w:szCs w:val="18"/>
              </w:rPr>
              <w:t xml:space="preserve">in addition to or instead of the voluntary expression of </w:t>
            </w:r>
            <w:r w:rsidR="004C1D6A">
              <w:rPr>
                <w:sz w:val="18"/>
                <w:szCs w:val="18"/>
              </w:rPr>
              <w:t xml:space="preserve">% </w:t>
            </w:r>
            <w:r w:rsidRPr="00927AA2">
              <w:rPr>
                <w:sz w:val="18"/>
                <w:szCs w:val="18"/>
              </w:rPr>
              <w:t xml:space="preserve">GDA reference intakes per 100 g/100 </w:t>
            </w:r>
            <w:r>
              <w:rPr>
                <w:sz w:val="18"/>
                <w:szCs w:val="18"/>
              </w:rPr>
              <w:t>mL</w:t>
            </w:r>
            <w:r w:rsidRPr="00927AA2">
              <w:rPr>
                <w:sz w:val="18"/>
                <w:szCs w:val="18"/>
              </w:rPr>
              <w:t>.</w:t>
            </w:r>
          </w:p>
          <w:p w14:paraId="7EC5D061" w14:textId="77777777" w:rsidR="004038E1" w:rsidRPr="00302C3E" w:rsidRDefault="004038E1" w:rsidP="004038E1">
            <w:pPr>
              <w:rPr>
                <w:sz w:val="20"/>
                <w:szCs w:val="20"/>
                <w:lang w:val="en-AU" w:bidi="ar-SA"/>
              </w:rPr>
            </w:pPr>
          </w:p>
        </w:tc>
        <w:tc>
          <w:tcPr>
            <w:tcW w:w="2551" w:type="dxa"/>
          </w:tcPr>
          <w:p w14:paraId="7EC5D062" w14:textId="77777777" w:rsidR="004038E1" w:rsidRDefault="004038E1" w:rsidP="004038E1">
            <w:pPr>
              <w:rPr>
                <w:rFonts w:cs="Arial"/>
                <w:sz w:val="18"/>
                <w:szCs w:val="18"/>
              </w:rPr>
            </w:pPr>
            <w:r>
              <w:rPr>
                <w:rFonts w:cs="Arial"/>
                <w:sz w:val="18"/>
                <w:szCs w:val="18"/>
              </w:rPr>
              <w:lastRenderedPageBreak/>
              <w:t>Declaration of nutrient content should be numerical. Additional means of presentation is not excluded.</w:t>
            </w:r>
          </w:p>
          <w:p w14:paraId="7EC5D063" w14:textId="77777777" w:rsidR="004038E1" w:rsidRDefault="004038E1" w:rsidP="004038E1">
            <w:pPr>
              <w:rPr>
                <w:rFonts w:cs="Arial"/>
                <w:sz w:val="18"/>
                <w:szCs w:val="18"/>
              </w:rPr>
            </w:pPr>
          </w:p>
          <w:p w14:paraId="7EC5D064" w14:textId="77777777" w:rsidR="004038E1" w:rsidRDefault="004038E1" w:rsidP="004038E1">
            <w:pPr>
              <w:rPr>
                <w:rFonts w:cs="Arial"/>
                <w:sz w:val="18"/>
                <w:szCs w:val="18"/>
              </w:rPr>
            </w:pPr>
            <w:r>
              <w:rPr>
                <w:rFonts w:cs="Arial"/>
                <w:sz w:val="18"/>
                <w:szCs w:val="18"/>
              </w:rPr>
              <w:t>Energy value should be expressed per 100 g/100 mL or per package if the package contains only a single portion. The information may also be given per serving or per portion provided that the number of portions contained in the package is stated.</w:t>
            </w:r>
          </w:p>
          <w:p w14:paraId="7EC5D065" w14:textId="77777777" w:rsidR="004038E1" w:rsidRDefault="004038E1" w:rsidP="004038E1">
            <w:pPr>
              <w:rPr>
                <w:rFonts w:cs="Arial"/>
                <w:sz w:val="18"/>
                <w:szCs w:val="18"/>
              </w:rPr>
            </w:pPr>
          </w:p>
          <w:p w14:paraId="7EC5D066" w14:textId="77777777" w:rsidR="004038E1" w:rsidRDefault="004038E1" w:rsidP="004038E1">
            <w:pPr>
              <w:rPr>
                <w:rFonts w:cs="Arial"/>
                <w:sz w:val="18"/>
                <w:szCs w:val="18"/>
              </w:rPr>
            </w:pPr>
            <w:r>
              <w:rPr>
                <w:rFonts w:cs="Arial"/>
                <w:sz w:val="18"/>
                <w:szCs w:val="18"/>
              </w:rPr>
              <w:t>Information on the amounts of protein, carbohydrate and fat in the food should be expressed per 100 g/100 mL or per package if the package contains only one serving. The information may also be given per serving or per portion provide the number of portions contained in the package is stated.</w:t>
            </w:r>
          </w:p>
          <w:p w14:paraId="7EC5D067" w14:textId="77777777" w:rsidR="004038E1" w:rsidRDefault="004038E1" w:rsidP="004038E1">
            <w:pPr>
              <w:rPr>
                <w:rFonts w:cs="Arial"/>
                <w:sz w:val="18"/>
                <w:szCs w:val="18"/>
              </w:rPr>
            </w:pPr>
          </w:p>
          <w:p w14:paraId="3BB68FF5" w14:textId="77777777" w:rsidR="00CE4CC6" w:rsidRDefault="004038E1" w:rsidP="004038E1">
            <w:pPr>
              <w:rPr>
                <w:rFonts w:cs="Arial"/>
                <w:sz w:val="18"/>
                <w:szCs w:val="18"/>
              </w:rPr>
            </w:pPr>
            <w:r>
              <w:rPr>
                <w:rFonts w:cs="Arial"/>
                <w:sz w:val="18"/>
                <w:szCs w:val="18"/>
              </w:rPr>
              <w:t>Information on vitamins and minerals should be expressed in metric units or as a percentage of a nutrient reference value per 100 g/100 mL or per package or per serving.</w:t>
            </w:r>
          </w:p>
          <w:p w14:paraId="33F0F9C5" w14:textId="77777777" w:rsidR="00CE4CC6" w:rsidRDefault="00CE4CC6" w:rsidP="004038E1">
            <w:pPr>
              <w:rPr>
                <w:rFonts w:cs="Arial"/>
                <w:sz w:val="18"/>
                <w:szCs w:val="18"/>
              </w:rPr>
            </w:pPr>
          </w:p>
          <w:p w14:paraId="7EC5D068" w14:textId="3EAAC7E5" w:rsidR="004038E1" w:rsidRDefault="004038E1" w:rsidP="004038E1">
            <w:pPr>
              <w:rPr>
                <w:rFonts w:cs="Arial"/>
                <w:sz w:val="18"/>
                <w:szCs w:val="18"/>
              </w:rPr>
            </w:pPr>
            <w:r>
              <w:rPr>
                <w:rFonts w:cs="Arial"/>
                <w:sz w:val="18"/>
                <w:szCs w:val="18"/>
              </w:rPr>
              <w:lastRenderedPageBreak/>
              <w:t>Information on protein may also be expressed as percentages of the nutrient reference value.</w:t>
            </w:r>
          </w:p>
          <w:p w14:paraId="7EC5D069" w14:textId="77777777" w:rsidR="004038E1" w:rsidRDefault="004038E1" w:rsidP="004038E1">
            <w:pPr>
              <w:rPr>
                <w:rFonts w:cs="Arial"/>
                <w:sz w:val="18"/>
                <w:szCs w:val="18"/>
              </w:rPr>
            </w:pPr>
          </w:p>
          <w:p w14:paraId="7EC5D06A" w14:textId="77777777" w:rsidR="004038E1" w:rsidRDefault="004038E1" w:rsidP="004038E1">
            <w:pPr>
              <w:rPr>
                <w:rFonts w:cs="Arial"/>
                <w:sz w:val="18"/>
                <w:szCs w:val="18"/>
              </w:rPr>
            </w:pPr>
            <w:r>
              <w:rPr>
                <w:rFonts w:cs="Arial"/>
                <w:sz w:val="18"/>
                <w:szCs w:val="18"/>
              </w:rPr>
              <w:t>In countries where serving sizes are normally used, information required as stated above may be given per serving only or per portion provided that the number of portions contained in the package is stated.</w:t>
            </w:r>
          </w:p>
          <w:p w14:paraId="7EC5D06B" w14:textId="77777777" w:rsidR="004038E1" w:rsidRPr="00121FA3" w:rsidRDefault="004038E1" w:rsidP="004038E1">
            <w:pPr>
              <w:rPr>
                <w:rFonts w:cs="Arial"/>
                <w:sz w:val="18"/>
                <w:szCs w:val="18"/>
              </w:rPr>
            </w:pPr>
          </w:p>
        </w:tc>
      </w:tr>
    </w:tbl>
    <w:p w14:paraId="7EC5D06D" w14:textId="77777777" w:rsidR="004038E1" w:rsidRPr="00E56BA1" w:rsidRDefault="004038E1" w:rsidP="004038E1">
      <w:pPr>
        <w:spacing w:after="60"/>
        <w:rPr>
          <w:rFonts w:cs="Arial"/>
          <w:sz w:val="18"/>
          <w:szCs w:val="18"/>
        </w:rPr>
      </w:pPr>
      <w:r w:rsidRPr="00E56BA1">
        <w:rPr>
          <w:rFonts w:cs="Arial"/>
          <w:sz w:val="18"/>
          <w:szCs w:val="18"/>
          <w:vertAlign w:val="superscript"/>
        </w:rPr>
        <w:lastRenderedPageBreak/>
        <w:t>2</w:t>
      </w:r>
      <w:r w:rsidRPr="00E56BA1">
        <w:rPr>
          <w:rFonts w:cs="Arial"/>
          <w:sz w:val="18"/>
          <w:szCs w:val="18"/>
        </w:rPr>
        <w:t xml:space="preserve"> The </w:t>
      </w:r>
      <w:r w:rsidRPr="00E56BA1">
        <w:rPr>
          <w:rFonts w:cs="Arial"/>
          <w:i/>
          <w:sz w:val="18"/>
          <w:szCs w:val="18"/>
        </w:rPr>
        <w:t>Australia New Zealand Food Standards Code</w:t>
      </w:r>
      <w:r w:rsidRPr="00E56BA1">
        <w:rPr>
          <w:rFonts w:cs="Arial"/>
          <w:sz w:val="18"/>
          <w:szCs w:val="18"/>
        </w:rPr>
        <w:t xml:space="preserve"> is at </w:t>
      </w:r>
      <w:hyperlink r:id="rId24" w:history="1">
        <w:r w:rsidRPr="00E56BA1">
          <w:rPr>
            <w:rStyle w:val="Hyperlink"/>
            <w:sz w:val="18"/>
            <w:szCs w:val="18"/>
          </w:rPr>
          <w:t>http://www.foodstandards.gov.au/code/Pages/default.aspx</w:t>
        </w:r>
      </w:hyperlink>
      <w:r w:rsidRPr="00E56BA1">
        <w:rPr>
          <w:rFonts w:cs="Arial"/>
          <w:sz w:val="18"/>
          <w:szCs w:val="18"/>
        </w:rPr>
        <w:t>.</w:t>
      </w:r>
    </w:p>
    <w:p w14:paraId="7EC5D06E" w14:textId="77777777" w:rsidR="004038E1" w:rsidRPr="00E56BA1" w:rsidRDefault="004038E1" w:rsidP="004038E1">
      <w:pPr>
        <w:spacing w:after="60"/>
        <w:rPr>
          <w:rFonts w:cs="Arial"/>
          <w:sz w:val="18"/>
          <w:szCs w:val="18"/>
        </w:rPr>
      </w:pPr>
      <w:r w:rsidRPr="00E56BA1">
        <w:rPr>
          <w:rFonts w:cs="Arial"/>
          <w:sz w:val="18"/>
          <w:szCs w:val="18"/>
          <w:vertAlign w:val="superscript"/>
        </w:rPr>
        <w:t>3</w:t>
      </w:r>
      <w:r w:rsidRPr="00E56BA1">
        <w:rPr>
          <w:rFonts w:cs="Arial"/>
          <w:sz w:val="18"/>
          <w:szCs w:val="18"/>
        </w:rPr>
        <w:t xml:space="preserve">The Canadian </w:t>
      </w:r>
      <w:r w:rsidRPr="00E56BA1">
        <w:rPr>
          <w:rFonts w:cs="Arial"/>
          <w:i/>
          <w:sz w:val="18"/>
          <w:szCs w:val="18"/>
        </w:rPr>
        <w:t>Food and Drug Regulations</w:t>
      </w:r>
      <w:r w:rsidRPr="00E56BA1">
        <w:rPr>
          <w:rFonts w:cs="Arial"/>
          <w:sz w:val="18"/>
          <w:szCs w:val="18"/>
        </w:rPr>
        <w:t xml:space="preserve"> are at </w:t>
      </w:r>
      <w:hyperlink r:id="rId25" w:history="1">
        <w:r w:rsidRPr="00E56BA1">
          <w:rPr>
            <w:rStyle w:val="Hyperlink"/>
            <w:sz w:val="18"/>
            <w:szCs w:val="18"/>
          </w:rPr>
          <w:t>http://laws-lois.justice.gc.ca/eng/regulations/C.R.C.%2C_c._870/</w:t>
        </w:r>
      </w:hyperlink>
      <w:r w:rsidRPr="00E56BA1">
        <w:rPr>
          <w:rFonts w:cs="Arial"/>
          <w:sz w:val="18"/>
          <w:szCs w:val="18"/>
        </w:rPr>
        <w:t>.</w:t>
      </w:r>
      <w:r>
        <w:rPr>
          <w:rFonts w:cs="Arial"/>
          <w:sz w:val="18"/>
          <w:szCs w:val="18"/>
        </w:rPr>
        <w:t xml:space="preserve"> An Industry Labelling Tool is at </w:t>
      </w:r>
      <w:hyperlink r:id="rId26" w:history="1">
        <w:r w:rsidRPr="00F36AF9">
          <w:rPr>
            <w:rStyle w:val="Hyperlink"/>
            <w:sz w:val="18"/>
            <w:szCs w:val="18"/>
          </w:rPr>
          <w:t>http://www.inspection.gc.ca/food/labelling/food-labelling-for-industry/eng/1383607266489/1383607344939</w:t>
        </w:r>
      </w:hyperlink>
      <w:r>
        <w:rPr>
          <w:rFonts w:cs="Arial"/>
          <w:sz w:val="18"/>
          <w:szCs w:val="18"/>
        </w:rPr>
        <w:t xml:space="preserve">. </w:t>
      </w:r>
    </w:p>
    <w:p w14:paraId="7EC5D06F" w14:textId="77777777" w:rsidR="004038E1" w:rsidRPr="00E56BA1" w:rsidRDefault="004038E1" w:rsidP="004038E1">
      <w:pPr>
        <w:spacing w:after="60"/>
        <w:rPr>
          <w:rFonts w:cs="Arial"/>
          <w:sz w:val="18"/>
          <w:szCs w:val="18"/>
        </w:rPr>
      </w:pPr>
      <w:r w:rsidRPr="00E56BA1">
        <w:rPr>
          <w:rFonts w:cs="Arial"/>
          <w:sz w:val="18"/>
          <w:szCs w:val="18"/>
          <w:vertAlign w:val="superscript"/>
        </w:rPr>
        <w:t xml:space="preserve">4 </w:t>
      </w:r>
      <w:r w:rsidRPr="00E56BA1">
        <w:rPr>
          <w:rFonts w:cs="Arial"/>
          <w:sz w:val="18"/>
          <w:szCs w:val="18"/>
        </w:rPr>
        <w:t xml:space="preserve">Title 21 – Food and Drugs from the </w:t>
      </w:r>
      <w:r>
        <w:rPr>
          <w:rFonts w:cs="Arial"/>
          <w:sz w:val="18"/>
          <w:szCs w:val="18"/>
        </w:rPr>
        <w:t xml:space="preserve">United States </w:t>
      </w:r>
      <w:r w:rsidRPr="00E56BA1">
        <w:rPr>
          <w:rFonts w:cs="Arial"/>
          <w:sz w:val="18"/>
          <w:szCs w:val="18"/>
        </w:rPr>
        <w:t xml:space="preserve">Food and Drug Administration is available at </w:t>
      </w:r>
      <w:hyperlink r:id="rId27" w:history="1">
        <w:r w:rsidRPr="00E56BA1">
          <w:rPr>
            <w:rStyle w:val="Hyperlink"/>
            <w:sz w:val="18"/>
            <w:szCs w:val="18"/>
          </w:rPr>
          <w:t>http://www.ecfr.gov/cgi-bin/text-idx?SID=50c7e808f8d7d041fe07e13453d53306&amp;c=ecfr&amp;tpl=/ecfrbrowse/Title21/21cfrv2_02.tpl</w:t>
        </w:r>
      </w:hyperlink>
      <w:r w:rsidRPr="00E56BA1">
        <w:rPr>
          <w:rFonts w:cs="Arial"/>
          <w:sz w:val="18"/>
          <w:szCs w:val="18"/>
        </w:rPr>
        <w:t xml:space="preserve">. A food labelling guide is available at </w:t>
      </w:r>
      <w:hyperlink r:id="rId28" w:history="1">
        <w:r w:rsidRPr="00E56BA1">
          <w:rPr>
            <w:rStyle w:val="Hyperlink"/>
            <w:sz w:val="18"/>
            <w:szCs w:val="18"/>
          </w:rPr>
          <w:t>http://www.fda.gov/Food/GuidanceRegulation/GuidanceDocumentsRegulatoryInformation/LabelingNutrition/ucm2006828.htm</w:t>
        </w:r>
      </w:hyperlink>
      <w:r w:rsidRPr="00E56BA1">
        <w:rPr>
          <w:rFonts w:cs="Arial"/>
          <w:sz w:val="18"/>
          <w:szCs w:val="18"/>
        </w:rPr>
        <w:t xml:space="preserve">. </w:t>
      </w:r>
    </w:p>
    <w:p w14:paraId="7EC5D070" w14:textId="77777777" w:rsidR="004038E1" w:rsidRPr="00E56BA1" w:rsidRDefault="004038E1" w:rsidP="004038E1">
      <w:pPr>
        <w:spacing w:after="60"/>
        <w:rPr>
          <w:rFonts w:cs="Arial"/>
          <w:sz w:val="18"/>
          <w:szCs w:val="18"/>
        </w:rPr>
      </w:pPr>
      <w:r w:rsidRPr="00E56BA1">
        <w:rPr>
          <w:rFonts w:cs="Arial"/>
          <w:sz w:val="18"/>
          <w:szCs w:val="18"/>
          <w:vertAlign w:val="superscript"/>
        </w:rPr>
        <w:t>5</w:t>
      </w:r>
      <w:r w:rsidRPr="00E56BA1">
        <w:rPr>
          <w:rFonts w:cs="Arial"/>
          <w:sz w:val="18"/>
          <w:szCs w:val="18"/>
        </w:rPr>
        <w:t xml:space="preserve"> In 2011 the EU released new regulations on the provision of food information to consumers (EU 1169/2011). These requirements become fully effective in December 2014 for foods with a nutrition information panel, and for all foods from December 2016. The nutrition information panel remains voluntary in the EU from December 2014 to December 2016. EU 1169/2011 is available at </w:t>
      </w:r>
      <w:hyperlink r:id="rId29" w:history="1">
        <w:r w:rsidRPr="00E56BA1">
          <w:rPr>
            <w:rStyle w:val="Hyperlink"/>
            <w:sz w:val="18"/>
            <w:szCs w:val="18"/>
          </w:rPr>
          <w:t>http://eur-lex.europa.eu/LexUriServ/LexUriServ.do?uri=OJ:L:2011:304:0018:0063:EN:PDF</w:t>
        </w:r>
      </w:hyperlink>
      <w:r w:rsidRPr="00E56BA1">
        <w:rPr>
          <w:rFonts w:cs="Arial"/>
          <w:sz w:val="18"/>
          <w:szCs w:val="18"/>
        </w:rPr>
        <w:t xml:space="preserve">. </w:t>
      </w:r>
    </w:p>
    <w:p w14:paraId="7EC5D071" w14:textId="4C098BD9" w:rsidR="004038E1" w:rsidRPr="00E56BA1" w:rsidRDefault="004038E1" w:rsidP="004038E1">
      <w:pPr>
        <w:spacing w:after="60"/>
        <w:rPr>
          <w:rFonts w:cs="Arial"/>
          <w:sz w:val="18"/>
          <w:szCs w:val="18"/>
        </w:rPr>
      </w:pPr>
      <w:r w:rsidRPr="00E56BA1">
        <w:rPr>
          <w:rFonts w:cs="Arial"/>
          <w:sz w:val="18"/>
          <w:szCs w:val="18"/>
          <w:vertAlign w:val="superscript"/>
        </w:rPr>
        <w:t xml:space="preserve">6 </w:t>
      </w:r>
      <w:r w:rsidRPr="00E56BA1">
        <w:rPr>
          <w:rFonts w:cs="Arial"/>
          <w:sz w:val="18"/>
          <w:szCs w:val="18"/>
        </w:rPr>
        <w:t>A guidance document on labelling requirements</w:t>
      </w:r>
      <w:r w:rsidR="00546846">
        <w:rPr>
          <w:rFonts w:cs="Arial"/>
          <w:sz w:val="18"/>
          <w:szCs w:val="18"/>
        </w:rPr>
        <w:t xml:space="preserve"> in the UK</w:t>
      </w:r>
      <w:r w:rsidRPr="00E56BA1">
        <w:rPr>
          <w:rFonts w:cs="Arial"/>
          <w:sz w:val="18"/>
          <w:szCs w:val="18"/>
        </w:rPr>
        <w:t xml:space="preserve"> is available at</w:t>
      </w:r>
      <w:r w:rsidR="00634B4A">
        <w:rPr>
          <w:rFonts w:cs="Arial"/>
          <w:sz w:val="18"/>
          <w:szCs w:val="18"/>
        </w:rPr>
        <w:t xml:space="preserve"> </w:t>
      </w:r>
      <w:hyperlink r:id="rId30" w:history="1">
        <w:r w:rsidR="00634B4A" w:rsidRPr="00A12374">
          <w:rPr>
            <w:rStyle w:val="Hyperlink"/>
            <w:rFonts w:cs="Arial"/>
            <w:sz w:val="18"/>
            <w:szCs w:val="18"/>
          </w:rPr>
          <w:t>https://www.gov.uk/government/publications/technical-guidance-on-nutrition-labelling</w:t>
        </w:r>
      </w:hyperlink>
      <w:r w:rsidR="00634B4A">
        <w:rPr>
          <w:rFonts w:cs="Arial"/>
          <w:sz w:val="18"/>
          <w:szCs w:val="18"/>
        </w:rPr>
        <w:t>.</w:t>
      </w:r>
      <w:r w:rsidRPr="00E56BA1">
        <w:rPr>
          <w:rFonts w:cs="Arial"/>
          <w:sz w:val="18"/>
          <w:szCs w:val="18"/>
        </w:rPr>
        <w:t>The industry groups FoodDrinkEurope and EuroCommerce released a guidance document on EU 1169/2011 (Food Information for Cons</w:t>
      </w:r>
      <w:r>
        <w:rPr>
          <w:rFonts w:cs="Arial"/>
          <w:sz w:val="18"/>
          <w:szCs w:val="18"/>
        </w:rPr>
        <w:t>umers)</w:t>
      </w:r>
      <w:r w:rsidRPr="00E56BA1">
        <w:rPr>
          <w:rFonts w:cs="Arial"/>
          <w:sz w:val="18"/>
          <w:szCs w:val="18"/>
        </w:rPr>
        <w:t xml:space="preserve"> in September 2013. This document is available at </w:t>
      </w:r>
      <w:hyperlink r:id="rId31" w:history="1">
        <w:r w:rsidRPr="00E56BA1">
          <w:rPr>
            <w:rStyle w:val="Hyperlink"/>
            <w:sz w:val="18"/>
            <w:szCs w:val="18"/>
          </w:rPr>
          <w:t>http://www.fooddrinkeurope.eu/uploads/press-releases_documents/FDE_Guidance_WEB1.pdf</w:t>
        </w:r>
      </w:hyperlink>
      <w:r w:rsidRPr="00E56BA1">
        <w:rPr>
          <w:rFonts w:cs="Arial"/>
          <w:sz w:val="18"/>
          <w:szCs w:val="18"/>
        </w:rPr>
        <w:t xml:space="preserve">. </w:t>
      </w:r>
    </w:p>
    <w:p w14:paraId="7EC5D072" w14:textId="77777777" w:rsidR="004038E1" w:rsidRPr="00D5313C" w:rsidRDefault="004038E1" w:rsidP="004038E1">
      <w:pPr>
        <w:rPr>
          <w:rFonts w:cs="Arial"/>
        </w:rPr>
      </w:pPr>
      <w:r w:rsidRPr="00E56BA1">
        <w:rPr>
          <w:rFonts w:cs="Arial"/>
          <w:sz w:val="18"/>
          <w:szCs w:val="18"/>
          <w:vertAlign w:val="superscript"/>
        </w:rPr>
        <w:t>7</w:t>
      </w:r>
      <w:r w:rsidRPr="00E56BA1">
        <w:rPr>
          <w:rFonts w:cs="Arial"/>
          <w:sz w:val="18"/>
          <w:szCs w:val="18"/>
        </w:rPr>
        <w:t xml:space="preserve"> Codex guidelines are available at </w:t>
      </w:r>
      <w:hyperlink r:id="rId32" w:history="1">
        <w:r w:rsidRPr="00E56BA1">
          <w:rPr>
            <w:rStyle w:val="Hyperlink"/>
            <w:sz w:val="18"/>
            <w:szCs w:val="18"/>
          </w:rPr>
          <w:t>http://www.codexalimentarius.org/standards/list-of-standards/</w:t>
        </w:r>
      </w:hyperlink>
      <w:r>
        <w:rPr>
          <w:rFonts w:cs="Arial"/>
          <w:sz w:val="18"/>
          <w:szCs w:val="18"/>
        </w:rPr>
        <w:t>.</w:t>
      </w:r>
    </w:p>
    <w:p w14:paraId="7EC5D073" w14:textId="77777777" w:rsidR="004038E1" w:rsidRDefault="004038E1" w:rsidP="004038E1"/>
    <w:p w14:paraId="7EC5D074" w14:textId="77777777" w:rsidR="004038E1" w:rsidRDefault="004038E1" w:rsidP="004038E1">
      <w:pPr>
        <w:sectPr w:rsidR="004038E1" w:rsidSect="004038E1">
          <w:pgSz w:w="16838" w:h="11906" w:orient="landscape"/>
          <w:pgMar w:top="1418" w:right="1134" w:bottom="1418" w:left="1418" w:header="709" w:footer="709" w:gutter="0"/>
          <w:cols w:space="708"/>
          <w:docGrid w:linePitch="360"/>
        </w:sectPr>
      </w:pPr>
    </w:p>
    <w:p w14:paraId="7EC5D075" w14:textId="43F3AEF0" w:rsidR="004038E1" w:rsidRDefault="004038E1" w:rsidP="004038E1">
      <w:pPr>
        <w:pStyle w:val="Heading2"/>
        <w:ind w:left="0" w:firstLine="0"/>
      </w:pPr>
      <w:bookmarkStart w:id="37" w:name="_Toc405365757"/>
      <w:bookmarkStart w:id="38" w:name="_Toc437416157"/>
      <w:r w:rsidRPr="00932F14">
        <w:lastRenderedPageBreak/>
        <w:t xml:space="preserve">Attachment </w:t>
      </w:r>
      <w:bookmarkStart w:id="39" w:name="_Toc120358597"/>
      <w:bookmarkStart w:id="40" w:name="_Toc175381459"/>
      <w:r w:rsidR="000F4745">
        <w:t>C</w:t>
      </w:r>
      <w:r>
        <w:t xml:space="preserve"> –</w:t>
      </w:r>
      <w:bookmarkEnd w:id="39"/>
      <w:bookmarkEnd w:id="40"/>
      <w:r w:rsidR="00084690">
        <w:t xml:space="preserve"> </w:t>
      </w:r>
      <w:r>
        <w:t>Regulatory requirements for serving sizes in Canada and the USA</w:t>
      </w:r>
      <w:bookmarkEnd w:id="37"/>
      <w:bookmarkEnd w:id="38"/>
    </w:p>
    <w:p w14:paraId="7EC5D076" w14:textId="77777777" w:rsidR="004038E1" w:rsidRDefault="004038E1" w:rsidP="004038E1">
      <w:pPr>
        <w:rPr>
          <w:lang w:val="en"/>
        </w:rPr>
      </w:pPr>
      <w:r>
        <w:rPr>
          <w:rFonts w:cs="Arial"/>
          <w:szCs w:val="22"/>
        </w:rPr>
        <w:t xml:space="preserve">The Canadian </w:t>
      </w:r>
      <w:r w:rsidRPr="00891D67">
        <w:rPr>
          <w:rFonts w:cs="Arial"/>
          <w:i/>
          <w:szCs w:val="22"/>
        </w:rPr>
        <w:t>Food and Drug Regulations</w:t>
      </w:r>
      <w:r>
        <w:rPr>
          <w:rFonts w:cs="Arial"/>
          <w:szCs w:val="22"/>
        </w:rPr>
        <w:t xml:space="preserve"> include a list of over 150 foods with serving sizes, often expressed as a range. Amounts of food usually eaten by an individual at one sitting, known as </w:t>
      </w:r>
      <w:r w:rsidRPr="00891D67">
        <w:rPr>
          <w:rFonts w:cs="Arial"/>
          <w:i/>
          <w:szCs w:val="22"/>
        </w:rPr>
        <w:t>reference amounts</w:t>
      </w:r>
      <w:r w:rsidRPr="0089344B">
        <w:rPr>
          <w:rFonts w:cs="Arial"/>
          <w:szCs w:val="22"/>
        </w:rPr>
        <w:t>,</w:t>
      </w:r>
      <w:r>
        <w:rPr>
          <w:rFonts w:cs="Arial"/>
          <w:szCs w:val="22"/>
        </w:rPr>
        <w:t xml:space="preserve"> are also listed for each food. Food businesses are able to base serving sizes used in the nutrition facts table on those given in regulations or use other serving sizes</w:t>
      </w:r>
      <w:r>
        <w:rPr>
          <w:lang w:val="en"/>
        </w:rPr>
        <w:t xml:space="preserve"> provided they are not misleading. </w:t>
      </w:r>
    </w:p>
    <w:p w14:paraId="7EC5D077" w14:textId="77777777" w:rsidR="004038E1" w:rsidRDefault="004038E1" w:rsidP="004038E1">
      <w:pPr>
        <w:rPr>
          <w:lang w:val="en"/>
        </w:rPr>
      </w:pPr>
    </w:p>
    <w:p w14:paraId="7EC5D078" w14:textId="77777777" w:rsidR="004038E1" w:rsidRDefault="004038E1" w:rsidP="004038E1">
      <w:pPr>
        <w:rPr>
          <w:lang w:val="en"/>
        </w:rPr>
      </w:pPr>
      <w:r>
        <w:rPr>
          <w:lang w:val="en"/>
        </w:rPr>
        <w:t>In Canada there are specific requirements for food sold as single servings. The entire amount in a package of food is considered to be the serving size when:</w:t>
      </w:r>
    </w:p>
    <w:p w14:paraId="7EC5D079" w14:textId="77777777" w:rsidR="004038E1" w:rsidRDefault="004038E1" w:rsidP="004038E1">
      <w:pPr>
        <w:rPr>
          <w:lang w:val="en"/>
        </w:rPr>
      </w:pPr>
    </w:p>
    <w:p w14:paraId="7EC5D07A" w14:textId="77777777" w:rsidR="004038E1" w:rsidRPr="00DC6F07" w:rsidRDefault="004038E1" w:rsidP="002119B3">
      <w:pPr>
        <w:pStyle w:val="FSBullet1"/>
        <w:numPr>
          <w:ilvl w:val="0"/>
          <w:numId w:val="6"/>
        </w:numPr>
        <w:ind w:left="567" w:hanging="567"/>
        <w:rPr>
          <w:lang w:val="en"/>
        </w:rPr>
      </w:pPr>
      <w:r w:rsidRPr="00DC6F07">
        <w:rPr>
          <w:lang w:val="en" w:eastAsia="en-NZ"/>
        </w:rPr>
        <w:t xml:space="preserve">The food packaged in the container could reasonably be eaten by one person at a single sitting. For example, a 600 </w:t>
      </w:r>
      <w:r>
        <w:rPr>
          <w:lang w:val="en" w:eastAsia="en-NZ"/>
        </w:rPr>
        <w:t>mL</w:t>
      </w:r>
      <w:r w:rsidRPr="00DC6F07">
        <w:rPr>
          <w:lang w:val="en" w:eastAsia="en-NZ"/>
        </w:rPr>
        <w:t xml:space="preserve"> bottle of juice dispensed from a vending machine </w:t>
      </w:r>
      <w:r>
        <w:rPr>
          <w:lang w:val="en" w:eastAsia="en-NZ"/>
        </w:rPr>
        <w:t>may be</w:t>
      </w:r>
      <w:r w:rsidRPr="00DC6F07">
        <w:rPr>
          <w:lang w:val="en" w:eastAsia="en-NZ"/>
        </w:rPr>
        <w:t xml:space="preserve"> consumed during a single occasion.</w:t>
      </w:r>
    </w:p>
    <w:p w14:paraId="7EC5D07B" w14:textId="77777777" w:rsidR="004038E1" w:rsidRDefault="004038E1" w:rsidP="002119B3">
      <w:pPr>
        <w:pStyle w:val="FSBullet1"/>
        <w:numPr>
          <w:ilvl w:val="0"/>
          <w:numId w:val="6"/>
        </w:numPr>
        <w:ind w:left="567" w:hanging="567"/>
        <w:rPr>
          <w:lang w:val="en"/>
        </w:rPr>
      </w:pPr>
      <w:r w:rsidRPr="00DC6F07">
        <w:rPr>
          <w:lang w:val="en" w:eastAsia="en-NZ"/>
        </w:rPr>
        <w:t xml:space="preserve">The reference amount of the food is less than 100 g or 100 </w:t>
      </w:r>
      <w:r>
        <w:rPr>
          <w:lang w:val="en" w:eastAsia="en-NZ"/>
        </w:rPr>
        <w:t>mL</w:t>
      </w:r>
      <w:r w:rsidRPr="00DC6F07">
        <w:rPr>
          <w:lang w:val="en" w:eastAsia="en-NZ"/>
        </w:rPr>
        <w:t xml:space="preserve"> and the package contains less than 200% of that reference amount. </w:t>
      </w:r>
    </w:p>
    <w:p w14:paraId="7EC5D07C" w14:textId="77777777" w:rsidR="004038E1" w:rsidRPr="008D4C01" w:rsidRDefault="004038E1" w:rsidP="002119B3">
      <w:pPr>
        <w:pStyle w:val="FSBullet1"/>
        <w:numPr>
          <w:ilvl w:val="0"/>
          <w:numId w:val="6"/>
        </w:numPr>
        <w:ind w:left="567" w:hanging="567"/>
        <w:rPr>
          <w:lang w:val="en"/>
        </w:rPr>
      </w:pPr>
      <w:r w:rsidRPr="008D4C01">
        <w:rPr>
          <w:lang w:val="en" w:eastAsia="en-NZ"/>
        </w:rPr>
        <w:t xml:space="preserve">The reference amount is 100 g or 100 </w:t>
      </w:r>
      <w:r>
        <w:rPr>
          <w:lang w:val="en" w:eastAsia="en-NZ"/>
        </w:rPr>
        <w:t>mL</w:t>
      </w:r>
      <w:r w:rsidRPr="008D4C01">
        <w:rPr>
          <w:lang w:val="en" w:eastAsia="en-NZ"/>
        </w:rPr>
        <w:t xml:space="preserve"> or more and the package contains 150% or less of that reference amount. </w:t>
      </w:r>
    </w:p>
    <w:p w14:paraId="7EC5D07D" w14:textId="77777777" w:rsidR="004038E1" w:rsidRDefault="004038E1" w:rsidP="004038E1">
      <w:pPr>
        <w:pStyle w:val="FSBullet"/>
        <w:rPr>
          <w:lang w:val="en" w:eastAsia="en-NZ" w:bidi="ar-SA"/>
        </w:rPr>
      </w:pPr>
    </w:p>
    <w:p w14:paraId="7EC5D07E" w14:textId="77777777" w:rsidR="004038E1" w:rsidRDefault="004038E1" w:rsidP="004038E1">
      <w:pPr>
        <w:pStyle w:val="FSBullet"/>
        <w:ind w:left="0" w:right="-144" w:firstLine="0"/>
        <w:rPr>
          <w:lang w:val="en" w:eastAsia="en-NZ" w:bidi="ar-SA"/>
        </w:rPr>
      </w:pPr>
      <w:r>
        <w:rPr>
          <w:lang w:val="en" w:eastAsia="en-NZ" w:bidi="ar-SA"/>
        </w:rPr>
        <w:t xml:space="preserve">When foods </w:t>
      </w:r>
      <w:r w:rsidRPr="00DC6F07">
        <w:rPr>
          <w:lang w:val="en" w:eastAsia="en-NZ" w:bidi="ar-SA"/>
        </w:rPr>
        <w:t xml:space="preserve">meet the </w:t>
      </w:r>
      <w:r>
        <w:rPr>
          <w:lang w:val="en" w:eastAsia="en-NZ" w:bidi="ar-SA"/>
        </w:rPr>
        <w:t xml:space="preserve">above </w:t>
      </w:r>
      <w:r w:rsidRPr="00DC6F07">
        <w:rPr>
          <w:lang w:val="en" w:eastAsia="en-NZ" w:bidi="ar-SA"/>
        </w:rPr>
        <w:t>requirements</w:t>
      </w:r>
      <w:r>
        <w:rPr>
          <w:lang w:val="en" w:eastAsia="en-NZ" w:bidi="ar-SA"/>
        </w:rPr>
        <w:t>,</w:t>
      </w:r>
      <w:r w:rsidRPr="00DC6F07">
        <w:rPr>
          <w:lang w:val="en" w:eastAsia="en-NZ" w:bidi="ar-SA"/>
        </w:rPr>
        <w:t xml:space="preserve"> </w:t>
      </w:r>
      <w:r>
        <w:rPr>
          <w:lang w:val="en" w:eastAsia="en-NZ" w:bidi="ar-SA"/>
        </w:rPr>
        <w:t xml:space="preserve">information in the nutrition facts table </w:t>
      </w:r>
      <w:r w:rsidRPr="00DC6F07">
        <w:rPr>
          <w:lang w:val="en" w:eastAsia="en-NZ" w:bidi="ar-SA"/>
        </w:rPr>
        <w:t xml:space="preserve">must </w:t>
      </w:r>
      <w:r>
        <w:rPr>
          <w:lang w:val="en" w:eastAsia="en-NZ" w:bidi="ar-SA"/>
        </w:rPr>
        <w:t>be</w:t>
      </w:r>
      <w:r w:rsidRPr="00DC6F07">
        <w:rPr>
          <w:lang w:val="en" w:eastAsia="en-NZ" w:bidi="ar-SA"/>
        </w:rPr>
        <w:t xml:space="preserve"> based on the </w:t>
      </w:r>
      <w:r>
        <w:rPr>
          <w:lang w:val="en" w:eastAsia="en-NZ" w:bidi="ar-SA"/>
        </w:rPr>
        <w:t>amount of food in</w:t>
      </w:r>
      <w:r w:rsidRPr="00DC6F07">
        <w:rPr>
          <w:lang w:val="en" w:eastAsia="en-NZ" w:bidi="ar-SA"/>
        </w:rPr>
        <w:t xml:space="preserve"> the entire package. F</w:t>
      </w:r>
      <w:r>
        <w:rPr>
          <w:lang w:val="en" w:eastAsia="en-NZ" w:bidi="ar-SA"/>
        </w:rPr>
        <w:t>or example, the nutrition information for a 355 mL</w:t>
      </w:r>
      <w:r w:rsidRPr="00DC6F07">
        <w:rPr>
          <w:lang w:val="en" w:eastAsia="en-NZ" w:bidi="ar-SA"/>
        </w:rPr>
        <w:t xml:space="preserve"> can of soft drink must </w:t>
      </w:r>
      <w:r>
        <w:rPr>
          <w:lang w:val="en" w:eastAsia="en-NZ" w:bidi="ar-SA"/>
        </w:rPr>
        <w:t xml:space="preserve">be </w:t>
      </w:r>
      <w:r w:rsidRPr="00DC6F07">
        <w:rPr>
          <w:lang w:val="en" w:eastAsia="en-NZ" w:bidi="ar-SA"/>
        </w:rPr>
        <w:t>base</w:t>
      </w:r>
      <w:r>
        <w:rPr>
          <w:lang w:val="en" w:eastAsia="en-NZ" w:bidi="ar-SA"/>
        </w:rPr>
        <w:t>d on 355 mL and not the reference amount of 250 mL.</w:t>
      </w:r>
    </w:p>
    <w:p w14:paraId="7EC5D07F" w14:textId="77777777" w:rsidR="004038E1" w:rsidRDefault="004038E1" w:rsidP="004038E1">
      <w:pPr>
        <w:rPr>
          <w:lang w:val="en" w:eastAsia="en-NZ" w:bidi="ar-SA"/>
        </w:rPr>
      </w:pPr>
    </w:p>
    <w:p w14:paraId="7EC5D080" w14:textId="77777777" w:rsidR="004038E1" w:rsidRDefault="004038E1" w:rsidP="004038E1">
      <w:pPr>
        <w:rPr>
          <w:lang w:val="en" w:eastAsia="en-NZ" w:bidi="ar-SA"/>
        </w:rPr>
      </w:pPr>
      <w:r>
        <w:rPr>
          <w:lang w:val="en" w:eastAsia="en-NZ" w:bidi="ar-SA"/>
        </w:rPr>
        <w:t xml:space="preserve">The United States Food and Drug Administration (USFDA) has included Reference Amounts Customarily Consumed (RACCs) for 158 food product categories in the </w:t>
      </w:r>
      <w:r w:rsidRPr="00BE1B4D">
        <w:rPr>
          <w:i/>
          <w:lang w:val="en" w:eastAsia="en-NZ" w:bidi="ar-SA"/>
        </w:rPr>
        <w:t>Food and Drugs Act</w:t>
      </w:r>
      <w:r>
        <w:rPr>
          <w:lang w:val="en" w:eastAsia="en-NZ" w:bidi="ar-SA"/>
        </w:rPr>
        <w:t>. In determining serving sizes for use in the nutrition facts panel, food businesses must first identify the appropriate RACC in the regulations. For a multi-serving product, a serving size closest to the RACC is determined followed by the number of servings for the product. Using such an approach means that there is likely to be variation in serving sizes amongst products in a food category.</w:t>
      </w:r>
    </w:p>
    <w:p w14:paraId="7EC5D081" w14:textId="77777777" w:rsidR="004038E1" w:rsidRDefault="004038E1" w:rsidP="004038E1">
      <w:pPr>
        <w:rPr>
          <w:lang w:val="en" w:eastAsia="en-NZ" w:bidi="ar-SA"/>
        </w:rPr>
      </w:pPr>
    </w:p>
    <w:p w14:paraId="7EC5D082" w14:textId="77777777" w:rsidR="004038E1" w:rsidRDefault="004038E1" w:rsidP="004038E1">
      <w:pPr>
        <w:rPr>
          <w:lang w:val="en" w:eastAsia="en-NZ" w:bidi="ar-SA"/>
        </w:rPr>
      </w:pPr>
      <w:r>
        <w:rPr>
          <w:lang w:val="en" w:eastAsia="en-NZ" w:bidi="ar-SA"/>
        </w:rPr>
        <w:t>As in Canada, there are detailed requirements for products sold as single servings. Products that are packaged and sold individually are considered to be single servings if they contain less than 200% of the RACC for the product category. Above 200% of the RACC, food businesses can choose to either label the product as a multi-serving product or as a single serving product if it can reasonably be consumed at a single eating occasion. There are other requirements for products that have a RACC of 100 g/100 mL or larger. Serving sizes may differ among single serving products within a food category.</w:t>
      </w:r>
    </w:p>
    <w:p w14:paraId="7EC5D083" w14:textId="77777777" w:rsidR="004038E1" w:rsidRPr="00620A80" w:rsidRDefault="004038E1" w:rsidP="004038E1">
      <w:pPr>
        <w:rPr>
          <w:lang w:val="en" w:eastAsia="en-NZ" w:bidi="ar-SA"/>
        </w:rPr>
      </w:pPr>
    </w:p>
    <w:p w14:paraId="7EC5D084" w14:textId="77777777" w:rsidR="004038E1" w:rsidRPr="00571D42" w:rsidRDefault="004038E1" w:rsidP="004038E1">
      <w:pPr>
        <w:rPr>
          <w:b/>
          <w:sz w:val="24"/>
        </w:rPr>
      </w:pPr>
      <w:r w:rsidRPr="00571D42">
        <w:rPr>
          <w:b/>
          <w:sz w:val="24"/>
        </w:rPr>
        <w:t>Proposed changes to regulatory requirements for serving sizes in Canada and the US</w:t>
      </w:r>
      <w:r>
        <w:rPr>
          <w:b/>
          <w:sz w:val="24"/>
        </w:rPr>
        <w:t>A</w:t>
      </w:r>
    </w:p>
    <w:p w14:paraId="7EC5D085" w14:textId="77777777" w:rsidR="004038E1" w:rsidRPr="00F1658D" w:rsidRDefault="004038E1" w:rsidP="004038E1"/>
    <w:p w14:paraId="7EC5D086" w14:textId="77777777" w:rsidR="004038E1" w:rsidRDefault="004038E1" w:rsidP="004038E1">
      <w:pPr>
        <w:rPr>
          <w:lang w:val="en" w:eastAsia="en-NZ" w:bidi="ar-SA"/>
        </w:rPr>
      </w:pPr>
      <w:r>
        <w:rPr>
          <w:lang w:val="en" w:eastAsia="en-NZ" w:bidi="ar-SA"/>
        </w:rPr>
        <w:t>Health Canada and the USFDA are reviewing aspects of the nutrition facts table/panel. As outlined in a recent public consultation, Health Canada</w:t>
      </w:r>
      <w:r>
        <w:rPr>
          <w:rStyle w:val="FootnoteReference"/>
          <w:lang w:val="en" w:eastAsia="en-NZ" w:bidi="ar-SA"/>
        </w:rPr>
        <w:footnoteReference w:id="16"/>
      </w:r>
      <w:r>
        <w:rPr>
          <w:lang w:val="en" w:eastAsia="en-NZ" w:bidi="ar-SA"/>
        </w:rPr>
        <w:t xml:space="preserve"> is proposing to introduce new serving size guidelines to help food businesses make serving sizes more closely aligned with the regulated reference amounts so that serving sizes will be more consistent amongst similar foods. Health Canada considers that such a change would make it easier for consumers to compare foods. The three guidelines</w:t>
      </w:r>
      <w:r>
        <w:rPr>
          <w:rStyle w:val="FootnoteReference"/>
          <w:lang w:val="en" w:eastAsia="en-NZ" w:bidi="ar-SA"/>
        </w:rPr>
        <w:footnoteReference w:id="17"/>
      </w:r>
      <w:r>
        <w:rPr>
          <w:lang w:val="en" w:eastAsia="en-NZ" w:bidi="ar-SA"/>
        </w:rPr>
        <w:t xml:space="preserve"> are as follows:</w:t>
      </w:r>
    </w:p>
    <w:p w14:paraId="7EC5D087" w14:textId="77777777" w:rsidR="004038E1" w:rsidRDefault="004038E1" w:rsidP="004038E1">
      <w:pPr>
        <w:rPr>
          <w:lang w:val="en" w:eastAsia="en-NZ" w:bidi="ar-SA"/>
        </w:rPr>
      </w:pPr>
    </w:p>
    <w:p w14:paraId="7EC5D088" w14:textId="77777777" w:rsidR="004038E1" w:rsidRDefault="004038E1" w:rsidP="004038E1">
      <w:pPr>
        <w:rPr>
          <w:lang w:val="en" w:eastAsia="en-NZ" w:bidi="ar-SA"/>
        </w:rPr>
      </w:pPr>
      <w:r w:rsidRPr="00CC14A6">
        <w:rPr>
          <w:b/>
          <w:i/>
          <w:lang w:val="en" w:eastAsia="en-NZ" w:bidi="ar-SA"/>
        </w:rPr>
        <w:t>Guideline 1</w:t>
      </w:r>
      <w:r>
        <w:rPr>
          <w:lang w:val="en" w:eastAsia="en-NZ" w:bidi="ar-SA"/>
        </w:rPr>
        <w:t>: For most foods that can be measured, the serving size on the label would be the reference amount as stated in the regulations.</w:t>
      </w:r>
    </w:p>
    <w:p w14:paraId="7EC5D089" w14:textId="77777777" w:rsidR="004038E1" w:rsidRDefault="004038E1" w:rsidP="004038E1">
      <w:pPr>
        <w:rPr>
          <w:lang w:val="en" w:eastAsia="en-NZ" w:bidi="ar-SA"/>
        </w:rPr>
      </w:pPr>
    </w:p>
    <w:p w14:paraId="7EC5D08A" w14:textId="77777777" w:rsidR="004038E1" w:rsidRDefault="004038E1" w:rsidP="004038E1">
      <w:pPr>
        <w:rPr>
          <w:lang w:val="en" w:eastAsia="en-NZ" w:bidi="ar-SA"/>
        </w:rPr>
      </w:pPr>
      <w:r w:rsidRPr="00CC14A6">
        <w:rPr>
          <w:b/>
          <w:i/>
          <w:lang w:val="en" w:eastAsia="en-NZ" w:bidi="ar-SA"/>
        </w:rPr>
        <w:t>Guideline 2:</w:t>
      </w:r>
      <w:r>
        <w:rPr>
          <w:lang w:val="en" w:eastAsia="en-NZ" w:bidi="ar-SA"/>
        </w:rPr>
        <w:t xml:space="preserve"> For most foods that come in pieces, the serving size would be the number of pieces closest to the reference amount (g), shown together with the corresponding weight. Also, for foods that are divided before eaten (e.g. pizza), the serving size would be the fraction of the food closest to the reference amount, shown together with the corresponding weight. This would mean that there would be some variability with the number of pieces and weights of serving sizes within a food category, although less variability than that with the current system since serving sizes closest to the reference amount would need to be used and not other </w:t>
      </w:r>
      <w:r w:rsidRPr="002E4731">
        <w:rPr>
          <w:i/>
          <w:lang w:val="en" w:eastAsia="en-NZ" w:bidi="ar-SA"/>
        </w:rPr>
        <w:t>reasonable</w:t>
      </w:r>
      <w:r>
        <w:rPr>
          <w:lang w:val="en" w:eastAsia="en-NZ" w:bidi="ar-SA"/>
        </w:rPr>
        <w:t xml:space="preserve"> serving sizes.</w:t>
      </w:r>
    </w:p>
    <w:p w14:paraId="7EC5D08B" w14:textId="77777777" w:rsidR="004038E1" w:rsidRDefault="004038E1" w:rsidP="004038E1">
      <w:pPr>
        <w:rPr>
          <w:lang w:val="en" w:eastAsia="en-NZ" w:bidi="ar-SA"/>
        </w:rPr>
      </w:pPr>
    </w:p>
    <w:p w14:paraId="7EC5D08C" w14:textId="77777777" w:rsidR="004038E1" w:rsidRDefault="004038E1" w:rsidP="004038E1">
      <w:pPr>
        <w:rPr>
          <w:lang w:val="en" w:eastAsia="en-NZ" w:bidi="ar-SA"/>
        </w:rPr>
      </w:pPr>
      <w:r w:rsidRPr="00CC14A6">
        <w:rPr>
          <w:b/>
          <w:i/>
          <w:lang w:val="en" w:eastAsia="en-NZ" w:bidi="ar-SA"/>
        </w:rPr>
        <w:t>Guideline 3:</w:t>
      </w:r>
      <w:r>
        <w:rPr>
          <w:b/>
          <w:i/>
          <w:lang w:val="en" w:eastAsia="en-NZ" w:bidi="ar-SA"/>
        </w:rPr>
        <w:t xml:space="preserve"> </w:t>
      </w:r>
      <w:r>
        <w:rPr>
          <w:lang w:val="en" w:eastAsia="en-NZ" w:bidi="ar-SA"/>
        </w:rPr>
        <w:t>For certain foods (e.g. breakfast cereals, sliced bread) the serving size would be based on a consumer household friendly measure, rather than the reference amount. Consumer friendly household measures would reflect the amount of a product that most people eat at one time, e.g. 2 slices of bread.</w:t>
      </w:r>
    </w:p>
    <w:p w14:paraId="7EC5D08D" w14:textId="77777777" w:rsidR="004038E1" w:rsidRDefault="004038E1" w:rsidP="004038E1">
      <w:pPr>
        <w:rPr>
          <w:lang w:val="en" w:eastAsia="en-NZ" w:bidi="ar-SA"/>
        </w:rPr>
      </w:pPr>
    </w:p>
    <w:p w14:paraId="7EC5D08E" w14:textId="7D6047A6" w:rsidR="004038E1" w:rsidRDefault="00EE5B2D" w:rsidP="004038E1">
      <w:pPr>
        <w:rPr>
          <w:lang w:val="en" w:eastAsia="en-NZ" w:bidi="ar-SA"/>
        </w:rPr>
      </w:pPr>
      <w:r w:rsidRPr="00EE5B2D">
        <w:rPr>
          <w:lang w:val="en" w:eastAsia="en-NZ" w:bidi="ar-SA"/>
        </w:rPr>
        <w:t xml:space="preserve">Health Canada is </w:t>
      </w:r>
      <w:r w:rsidR="004038E1" w:rsidRPr="00EE5B2D">
        <w:rPr>
          <w:lang w:val="en" w:eastAsia="en-NZ" w:bidi="ar-SA"/>
        </w:rPr>
        <w:t>considering stakeholder comments in response to these proposed changes.</w:t>
      </w:r>
    </w:p>
    <w:p w14:paraId="7EC5D08F" w14:textId="77777777" w:rsidR="004038E1" w:rsidRDefault="004038E1" w:rsidP="004038E1">
      <w:pPr>
        <w:rPr>
          <w:lang w:val="en" w:eastAsia="en-NZ" w:bidi="ar-SA"/>
        </w:rPr>
      </w:pPr>
    </w:p>
    <w:p w14:paraId="7EC5D090" w14:textId="77777777" w:rsidR="004038E1" w:rsidRDefault="004038E1" w:rsidP="004038E1">
      <w:pPr>
        <w:rPr>
          <w:lang w:val="en" w:eastAsia="en-NZ" w:bidi="ar-SA"/>
        </w:rPr>
      </w:pPr>
      <w:r>
        <w:rPr>
          <w:lang w:val="en" w:eastAsia="en-NZ" w:bidi="ar-SA"/>
        </w:rPr>
        <w:t>Aspects of the review of the nutrition facts panel being undertaken by the USFDA that are of most interest in the context of this consultation are the proposed changes to serving sizes, the changes to requirements for foods labelled as a single serving</w:t>
      </w:r>
      <w:r>
        <w:rPr>
          <w:rStyle w:val="FootnoteReference"/>
          <w:lang w:val="en" w:eastAsia="en-NZ" w:bidi="ar-SA"/>
        </w:rPr>
        <w:footnoteReference w:id="18"/>
      </w:r>
      <w:r>
        <w:rPr>
          <w:lang w:val="en" w:eastAsia="en-NZ" w:bidi="ar-SA"/>
        </w:rPr>
        <w:t xml:space="preserve"> and the proposed bolding and increased font size of the number of servings in the nutrition facts panel.</w:t>
      </w:r>
    </w:p>
    <w:p w14:paraId="7EC5D091" w14:textId="77777777" w:rsidR="004038E1" w:rsidRDefault="004038E1" w:rsidP="004038E1">
      <w:pPr>
        <w:rPr>
          <w:lang w:val="en" w:eastAsia="en-NZ" w:bidi="ar-SA"/>
        </w:rPr>
      </w:pPr>
    </w:p>
    <w:p w14:paraId="7EC5D092" w14:textId="77777777" w:rsidR="004038E1" w:rsidRDefault="004038E1" w:rsidP="004038E1">
      <w:pPr>
        <w:rPr>
          <w:lang w:val="en" w:eastAsia="en-NZ" w:bidi="ar-SA"/>
        </w:rPr>
      </w:pPr>
      <w:r>
        <w:rPr>
          <w:lang w:val="en" w:eastAsia="en-NZ" w:bidi="ar-SA"/>
        </w:rPr>
        <w:t xml:space="preserve">Following analysis of recent food consumption data, the USFDA has determined that about 17% of the RACCs that were set in 1994 should be changed. This means that food businesses may have to adjust serving sizes so that they more closely reflect what people eat. The USFDA is also proposing to require some products previously labelled as more than one serving to be labelled as a single serving because consumers typically consume them in one sitting. Specifically, it is proposed that products containing </w:t>
      </w:r>
      <w:r>
        <w:rPr>
          <w:lang w:val="en"/>
        </w:rPr>
        <w:t xml:space="preserve">between 150% and 200% of the RACCs be no longer labeled as more than one serving. Other products that may be consumed in one or multiple sittings would be required to be labelled per serving and per package rather than just per serving. The USFDA refers to such labelling as the ‘dual column labelling’ requirement. It is proposed that dual column labelling would be required if a product contained at least 200% of the RACC and less than or equal to 400% of the RACC. For products containing more than 400% of the RACC, dual column labeling would not be required. </w:t>
      </w:r>
    </w:p>
    <w:p w14:paraId="7EC5D093" w14:textId="77777777" w:rsidR="004038E1" w:rsidRDefault="004038E1" w:rsidP="004038E1">
      <w:pPr>
        <w:rPr>
          <w:lang w:val="en" w:eastAsia="en-NZ" w:bidi="ar-SA"/>
        </w:rPr>
      </w:pPr>
    </w:p>
    <w:p w14:paraId="7EC5D094" w14:textId="5EE840D4" w:rsidR="004038E1" w:rsidRDefault="00EE5B2D" w:rsidP="004038E1">
      <w:r>
        <w:rPr>
          <w:lang w:val="en" w:eastAsia="en-NZ" w:bidi="ar-SA"/>
        </w:rPr>
        <w:t xml:space="preserve"> </w:t>
      </w:r>
      <w:r w:rsidRPr="00EE5B2D">
        <w:rPr>
          <w:lang w:val="en" w:eastAsia="en-NZ" w:bidi="ar-SA"/>
        </w:rPr>
        <w:t xml:space="preserve">The USFDA is </w:t>
      </w:r>
      <w:r w:rsidR="004038E1" w:rsidRPr="00EE5B2D">
        <w:rPr>
          <w:lang w:val="en" w:eastAsia="en-NZ" w:bidi="ar-SA"/>
        </w:rPr>
        <w:t>considering stakeholder comments in response to these proposed changes.</w:t>
      </w:r>
    </w:p>
    <w:p w14:paraId="7EC5D095" w14:textId="77777777" w:rsidR="0012388D" w:rsidRDefault="0012388D" w:rsidP="007B30E2">
      <w:pPr>
        <w:widowControl/>
      </w:pPr>
    </w:p>
    <w:p w14:paraId="527E3F7C" w14:textId="77777777" w:rsidR="00084690" w:rsidRDefault="00084690" w:rsidP="007B30E2">
      <w:pPr>
        <w:widowControl/>
      </w:pPr>
    </w:p>
    <w:p w14:paraId="1E7E55E0" w14:textId="77777777" w:rsidR="00084690" w:rsidRDefault="00084690">
      <w:pPr>
        <w:widowControl/>
      </w:pPr>
      <w:r>
        <w:br w:type="page"/>
      </w:r>
    </w:p>
    <w:p w14:paraId="54482595" w14:textId="4CEA4718" w:rsidR="00BB5D26" w:rsidRDefault="00084690" w:rsidP="00BB5D26">
      <w:pPr>
        <w:pStyle w:val="Heading2"/>
        <w:ind w:left="0" w:firstLine="0"/>
      </w:pPr>
      <w:bookmarkStart w:id="41" w:name="_Toc437416158"/>
      <w:r w:rsidRPr="00932F14">
        <w:lastRenderedPageBreak/>
        <w:t xml:space="preserve">Attachment </w:t>
      </w:r>
      <w:r>
        <w:t xml:space="preserve">D – </w:t>
      </w:r>
      <w:r w:rsidR="00BB5D26">
        <w:t>Previous FSANZ consideration of per serving information in the NIP</w:t>
      </w:r>
      <w:bookmarkEnd w:id="41"/>
    </w:p>
    <w:p w14:paraId="35C35315" w14:textId="77777777" w:rsidR="001C2624" w:rsidRPr="001C2624" w:rsidRDefault="001C2624" w:rsidP="00BB5D26">
      <w:pPr>
        <w:spacing w:after="200"/>
        <w:ind w:right="-440"/>
        <w:rPr>
          <w:b/>
        </w:rPr>
      </w:pPr>
      <w:r w:rsidRPr="001C2624">
        <w:rPr>
          <w:b/>
        </w:rPr>
        <w:t>Proposal P167 – Nutrition Labelling</w:t>
      </w:r>
    </w:p>
    <w:p w14:paraId="728B5B6D" w14:textId="563560CA" w:rsidR="00BB5D26" w:rsidRDefault="00BB5D26" w:rsidP="00BB5D26">
      <w:pPr>
        <w:spacing w:after="200"/>
        <w:ind w:right="-440"/>
        <w:rPr>
          <w:rFonts w:cs="Arial"/>
        </w:rPr>
      </w:pPr>
      <w:r>
        <w:t xml:space="preserve">As part of the development of the joint Code, </w:t>
      </w:r>
      <w:r>
        <w:rPr>
          <w:lang w:bidi="ar-SA"/>
        </w:rPr>
        <w:t xml:space="preserve">in 1997 the then Australia New Zealand Food Authority (ANZFA) released a consultation paper </w:t>
      </w:r>
      <w:r w:rsidRPr="00D65079">
        <w:rPr>
          <w:rFonts w:cs="Arial"/>
        </w:rPr>
        <w:t xml:space="preserve">under </w:t>
      </w:r>
      <w:r>
        <w:rPr>
          <w:rFonts w:cs="Arial"/>
        </w:rPr>
        <w:t xml:space="preserve">Proposal </w:t>
      </w:r>
      <w:r w:rsidRPr="00D65079">
        <w:rPr>
          <w:rFonts w:cs="Arial"/>
        </w:rPr>
        <w:t xml:space="preserve">P167 – Nutrition Labelling (Preliminary Assessment Report). </w:t>
      </w:r>
      <w:r>
        <w:rPr>
          <w:rFonts w:cs="Arial"/>
        </w:rPr>
        <w:t>ANZFA</w:t>
      </w:r>
      <w:r w:rsidRPr="00D65079">
        <w:rPr>
          <w:rFonts w:cs="Arial"/>
        </w:rPr>
        <w:t xml:space="preserve"> </w:t>
      </w:r>
      <w:r>
        <w:rPr>
          <w:rFonts w:cs="Arial"/>
        </w:rPr>
        <w:t>specifically sought p</w:t>
      </w:r>
      <w:r w:rsidRPr="00D65079">
        <w:rPr>
          <w:rFonts w:cs="Arial"/>
        </w:rPr>
        <w:t xml:space="preserve">ublic comment </w:t>
      </w:r>
      <w:r>
        <w:rPr>
          <w:rFonts w:cs="Arial"/>
        </w:rPr>
        <w:t>on continuing</w:t>
      </w:r>
      <w:r>
        <w:t xml:space="preserve"> the use of per serving as a reference unit for declaring nutrition information.</w:t>
      </w:r>
      <w:r>
        <w:rPr>
          <w:rFonts w:cs="Arial"/>
        </w:rPr>
        <w:t xml:space="preserve"> As reported in the subsequent Full Assessment Report for P167, t</w:t>
      </w:r>
      <w:r w:rsidRPr="00143B38">
        <w:rPr>
          <w:rFonts w:cs="Arial"/>
        </w:rPr>
        <w:t>he majority of submitters</w:t>
      </w:r>
      <w:r>
        <w:rPr>
          <w:rFonts w:cs="Arial"/>
        </w:rPr>
        <w:t>, including most industry groups,</w:t>
      </w:r>
      <w:r w:rsidRPr="00143B38">
        <w:rPr>
          <w:rFonts w:cs="Arial"/>
        </w:rPr>
        <w:t xml:space="preserve"> supported </w:t>
      </w:r>
      <w:r>
        <w:rPr>
          <w:rFonts w:cs="Arial"/>
        </w:rPr>
        <w:t>continuing</w:t>
      </w:r>
      <w:r w:rsidRPr="00143B38">
        <w:rPr>
          <w:rFonts w:cs="Arial"/>
        </w:rPr>
        <w:t xml:space="preserve"> the use of </w:t>
      </w:r>
      <w:r>
        <w:rPr>
          <w:rFonts w:cs="Arial"/>
        </w:rPr>
        <w:t>per serving</w:t>
      </w:r>
      <w:r w:rsidRPr="00143B38">
        <w:rPr>
          <w:rFonts w:cs="Arial"/>
        </w:rPr>
        <w:t xml:space="preserve"> as a reference unit for declaring nutrient content. Consumer familiarity and consistency with Codex were the main reasons given</w:t>
      </w:r>
      <w:r>
        <w:rPr>
          <w:rFonts w:cs="Arial"/>
        </w:rPr>
        <w:t xml:space="preserve">, although Codex </w:t>
      </w:r>
      <w:r>
        <w:t xml:space="preserve">provides for a choice between either per serving or per 100 g/100 mL. </w:t>
      </w:r>
      <w:r w:rsidRPr="00143B38">
        <w:rPr>
          <w:rFonts w:cs="Arial"/>
        </w:rPr>
        <w:t>The Dietitian</w:t>
      </w:r>
      <w:r w:rsidR="007F42EB">
        <w:rPr>
          <w:rFonts w:cs="Arial"/>
        </w:rPr>
        <w:t>s</w:t>
      </w:r>
      <w:r w:rsidRPr="00143B38">
        <w:rPr>
          <w:rFonts w:cs="Arial"/>
        </w:rPr>
        <w:t xml:space="preserve"> Association of Australia also noted the usefulness of this measure for placing nutrient intake in the context of the whole diet.</w:t>
      </w:r>
      <w:r>
        <w:rPr>
          <w:rFonts w:cs="Arial"/>
        </w:rPr>
        <w:t xml:space="preserve"> The Australian Food and Grocery Council (AFGC) </w:t>
      </w:r>
      <w:r w:rsidRPr="0031306E">
        <w:rPr>
          <w:rFonts w:cs="Arial"/>
        </w:rPr>
        <w:t>requested that</w:t>
      </w:r>
      <w:r>
        <w:rPr>
          <w:rFonts w:cs="Arial"/>
        </w:rPr>
        <w:t>,</w:t>
      </w:r>
      <w:r w:rsidRPr="0031306E">
        <w:rPr>
          <w:rFonts w:cs="Arial"/>
        </w:rPr>
        <w:t xml:space="preserve"> for single serve packages</w:t>
      </w:r>
      <w:r>
        <w:rPr>
          <w:rFonts w:cs="Arial"/>
        </w:rPr>
        <w:t>,</w:t>
      </w:r>
      <w:r w:rsidRPr="0031306E">
        <w:rPr>
          <w:rFonts w:cs="Arial"/>
        </w:rPr>
        <w:t xml:space="preserve"> the word ‘pack’ or similar should be allowed to replace the word serve. </w:t>
      </w:r>
      <w:r>
        <w:rPr>
          <w:rFonts w:cs="Arial"/>
        </w:rPr>
        <w:t xml:space="preserve">In response, ANZFA proposed to continue </w:t>
      </w:r>
      <w:r>
        <w:t>use of per serving as a reference unit for declaring nutrition information</w:t>
      </w:r>
      <w:r>
        <w:rPr>
          <w:rFonts w:cs="Arial"/>
        </w:rPr>
        <w:t xml:space="preserve"> and permit </w:t>
      </w:r>
      <w:r w:rsidRPr="0031306E">
        <w:rPr>
          <w:rFonts w:cs="Arial"/>
        </w:rPr>
        <w:t xml:space="preserve">the word ‘pack’ or similar for single serve packages </w:t>
      </w:r>
      <w:r>
        <w:rPr>
          <w:rFonts w:cs="Arial"/>
        </w:rPr>
        <w:t>to</w:t>
      </w:r>
      <w:r w:rsidRPr="0031306E">
        <w:rPr>
          <w:rFonts w:cs="Arial"/>
        </w:rPr>
        <w:t xml:space="preserve"> be used.</w:t>
      </w:r>
      <w:r>
        <w:rPr>
          <w:rFonts w:cs="Arial"/>
        </w:rPr>
        <w:t xml:space="preserve"> </w:t>
      </w:r>
    </w:p>
    <w:p w14:paraId="673F66F9" w14:textId="77777777" w:rsidR="00BB5D26" w:rsidRDefault="00BB5D26" w:rsidP="00BB5D26">
      <w:pPr>
        <w:spacing w:after="200"/>
        <w:ind w:right="-440"/>
        <w:rPr>
          <w:rFonts w:cs="Arial"/>
        </w:rPr>
      </w:pPr>
      <w:r>
        <w:rPr>
          <w:rFonts w:cs="Arial"/>
        </w:rPr>
        <w:t>In the Full Assessment Report, ANZFA reported findings of a study undertaken in 1998 on the inclusion of %DI labelling in the NIP (Scott et al. 1999). The main objective of this study was to evaluate consumer reactions to the inclusion of %DI information (on a per serving basis) in three different NIPs, however focus group participants (n=27) made the following comments on the use of serving size and per serving information:</w:t>
      </w:r>
    </w:p>
    <w:p w14:paraId="065E3A66" w14:textId="77777777" w:rsidR="00BB5D26" w:rsidRDefault="00BB5D26" w:rsidP="002119B3">
      <w:pPr>
        <w:pStyle w:val="FSBullet1"/>
        <w:numPr>
          <w:ilvl w:val="0"/>
          <w:numId w:val="6"/>
        </w:numPr>
        <w:ind w:left="567" w:hanging="567"/>
      </w:pPr>
      <w:r>
        <w:t>serving sizes vary from one person to another</w:t>
      </w:r>
    </w:p>
    <w:p w14:paraId="67F309A8" w14:textId="77777777" w:rsidR="00BB5D26" w:rsidRDefault="00BB5D26" w:rsidP="002119B3">
      <w:pPr>
        <w:pStyle w:val="FSBullet1"/>
        <w:numPr>
          <w:ilvl w:val="0"/>
          <w:numId w:val="6"/>
        </w:numPr>
        <w:ind w:left="567" w:hanging="567"/>
      </w:pPr>
      <w:r>
        <w:t>serving sizes are difficult to visualise even if they are defined</w:t>
      </w:r>
    </w:p>
    <w:p w14:paraId="71C6717B" w14:textId="77777777" w:rsidR="00BB5D26" w:rsidRDefault="00BB5D26" w:rsidP="002119B3">
      <w:pPr>
        <w:pStyle w:val="FSBullet1"/>
        <w:numPr>
          <w:ilvl w:val="0"/>
          <w:numId w:val="6"/>
        </w:numPr>
        <w:ind w:left="567" w:hanging="567"/>
      </w:pPr>
      <w:r>
        <w:t>serving sizes on packages can be smaller than actual portions eaten</w:t>
      </w:r>
    </w:p>
    <w:p w14:paraId="64FC7AC3" w14:textId="77777777" w:rsidR="00BB5D26" w:rsidRDefault="00BB5D26" w:rsidP="002119B3">
      <w:pPr>
        <w:pStyle w:val="FSBullet1"/>
        <w:numPr>
          <w:ilvl w:val="0"/>
          <w:numId w:val="6"/>
        </w:numPr>
        <w:ind w:left="567" w:hanging="567"/>
      </w:pPr>
      <w:r>
        <w:t>serving sizes are merely a guide</w:t>
      </w:r>
    </w:p>
    <w:p w14:paraId="44FE6714" w14:textId="77777777" w:rsidR="00BB5D26" w:rsidRDefault="00BB5D26" w:rsidP="002119B3">
      <w:pPr>
        <w:pStyle w:val="FSBullet1"/>
        <w:numPr>
          <w:ilvl w:val="0"/>
          <w:numId w:val="6"/>
        </w:numPr>
        <w:ind w:left="567" w:hanging="567"/>
      </w:pPr>
      <w:r>
        <w:t>unsure how serving sizes relate to daily nutrition</w:t>
      </w:r>
    </w:p>
    <w:p w14:paraId="6EC534BE" w14:textId="77777777" w:rsidR="00BB5D26" w:rsidRDefault="00BB5D26" w:rsidP="002119B3">
      <w:pPr>
        <w:pStyle w:val="FSBullet1"/>
        <w:numPr>
          <w:ilvl w:val="0"/>
          <w:numId w:val="6"/>
        </w:numPr>
        <w:ind w:left="567" w:hanging="567"/>
      </w:pPr>
      <w:r>
        <w:t>per serving column is for people who need to accurately know their intakes because of specific health problems, but unsure if column is used in this manner</w:t>
      </w:r>
    </w:p>
    <w:p w14:paraId="1E854BFF" w14:textId="77777777" w:rsidR="00BB5D26" w:rsidRPr="004F32F3" w:rsidRDefault="00BB5D26" w:rsidP="002119B3">
      <w:pPr>
        <w:pStyle w:val="FSBullet1"/>
        <w:numPr>
          <w:ilvl w:val="0"/>
          <w:numId w:val="6"/>
        </w:numPr>
        <w:ind w:left="567" w:hanging="567"/>
      </w:pPr>
      <w:r>
        <w:t>per serving information not for comparing products; per 100 g is best used for comparing products.</w:t>
      </w:r>
    </w:p>
    <w:p w14:paraId="7AC1298F" w14:textId="77777777" w:rsidR="00BB5D26" w:rsidRPr="00542457" w:rsidRDefault="00BB5D26" w:rsidP="00BB5D26"/>
    <w:p w14:paraId="5F644E6E" w14:textId="77777777" w:rsidR="00BB5D26" w:rsidRDefault="00BB5D26" w:rsidP="00BB5D26">
      <w:pPr>
        <w:spacing w:after="200"/>
        <w:ind w:right="-440"/>
        <w:rPr>
          <w:rFonts w:cs="Arial"/>
        </w:rPr>
      </w:pPr>
      <w:r>
        <w:rPr>
          <w:rFonts w:cs="Arial"/>
        </w:rPr>
        <w:t>ANZFA also noted that half the focus group participants said they used per 100 g information to compare products with different serving sizes while the other half said they used per serving information, noting that it was harder to do.</w:t>
      </w:r>
    </w:p>
    <w:p w14:paraId="2621B8FD" w14:textId="77777777" w:rsidR="00BB5D26" w:rsidRDefault="00BB5D26" w:rsidP="00BB5D26">
      <w:pPr>
        <w:spacing w:after="200"/>
        <w:ind w:right="-440"/>
        <w:rPr>
          <w:rFonts w:cs="Arial"/>
        </w:rPr>
      </w:pPr>
      <w:r>
        <w:rPr>
          <w:rFonts w:cs="Arial"/>
        </w:rPr>
        <w:t>The three NIP formats evaluated in the study were as follows:</w:t>
      </w:r>
    </w:p>
    <w:p w14:paraId="76C29261" w14:textId="77777777" w:rsidR="00BB5D26" w:rsidRDefault="00BB5D26" w:rsidP="002119B3">
      <w:pPr>
        <w:pStyle w:val="FSBullet"/>
        <w:numPr>
          <w:ilvl w:val="0"/>
          <w:numId w:val="8"/>
        </w:numPr>
        <w:ind w:left="567" w:hanging="567"/>
      </w:pPr>
      <w:r>
        <w:t>NIP information expressed using per serving and per 100 g/100 mL</w:t>
      </w:r>
    </w:p>
    <w:p w14:paraId="21769697" w14:textId="77777777" w:rsidR="00BB5D26" w:rsidRDefault="00BB5D26" w:rsidP="002119B3">
      <w:pPr>
        <w:pStyle w:val="FSBullet"/>
        <w:numPr>
          <w:ilvl w:val="0"/>
          <w:numId w:val="8"/>
        </w:numPr>
        <w:ind w:left="567" w:hanging="567"/>
      </w:pPr>
      <w:r>
        <w:t>NIP information expressed using per serving, per 100 g/100 mL and %DI</w:t>
      </w:r>
    </w:p>
    <w:p w14:paraId="5D7BE25D" w14:textId="77777777" w:rsidR="00BB5D26" w:rsidRDefault="00BB5D26" w:rsidP="002119B3">
      <w:pPr>
        <w:pStyle w:val="FSBullet"/>
        <w:numPr>
          <w:ilvl w:val="0"/>
          <w:numId w:val="8"/>
        </w:numPr>
        <w:ind w:left="567" w:hanging="567"/>
      </w:pPr>
      <w:r>
        <w:t>NIP information expressed using per serving and %DI</w:t>
      </w:r>
    </w:p>
    <w:p w14:paraId="74A7FCDF" w14:textId="77777777" w:rsidR="00BB5D26" w:rsidRDefault="00BB5D26" w:rsidP="00BB5D26">
      <w:pPr>
        <w:pStyle w:val="FSBullet"/>
        <w:ind w:left="0" w:firstLine="0"/>
      </w:pPr>
    </w:p>
    <w:p w14:paraId="3E82D4E4" w14:textId="509115F7" w:rsidR="00BB5D26" w:rsidRDefault="00BB5D26" w:rsidP="00BB5D26">
      <w:pPr>
        <w:rPr>
          <w:szCs w:val="22"/>
        </w:rPr>
      </w:pPr>
      <w:r>
        <w:t xml:space="preserve">Study participants disliked NIP format 3 the most because it did not have the per 100 g/100 mL column which was considered to be the only useful expression for comparing products. Participants also thought that per serving information was redundant because ‘it stretches the mental powers’ too much. In response to this finding, ANZFA invited comment on the possible inclusion of %DI information in the NIP instead of per serving information in the Full Assessment Report. In response to submissions, ANZFA concluded there was little support for replacing per serving with %DI information. There was strong resistance to making %DI mandatory primarily because it is not possible to have </w:t>
      </w:r>
      <w:r w:rsidRPr="00CC190E">
        <w:t xml:space="preserve">generic </w:t>
      </w:r>
      <w:r>
        <w:t>%DI values</w:t>
      </w:r>
      <w:r w:rsidRPr="00CC190E">
        <w:t xml:space="preserve"> for all a</w:t>
      </w:r>
      <w:r>
        <w:t xml:space="preserve">dults and children over 4 years and that the concept itself could be confusing. There was no specific discussion on the merits of having %DI information alongside per serving information given the former </w:t>
      </w:r>
      <w:r w:rsidRPr="00190EE5">
        <w:rPr>
          <w:szCs w:val="22"/>
        </w:rPr>
        <w:t xml:space="preserve">expresses the percentage of the daily intake for </w:t>
      </w:r>
      <w:r>
        <w:rPr>
          <w:szCs w:val="22"/>
        </w:rPr>
        <w:t>particular nutrients and energy</w:t>
      </w:r>
      <w:r w:rsidRPr="00190EE5">
        <w:rPr>
          <w:szCs w:val="22"/>
        </w:rPr>
        <w:t xml:space="preserve"> </w:t>
      </w:r>
      <w:r w:rsidRPr="00190EE5">
        <w:rPr>
          <w:szCs w:val="22"/>
        </w:rPr>
        <w:lastRenderedPageBreak/>
        <w:t>that will be obtained from consuming one serving of the food.</w:t>
      </w:r>
      <w:r>
        <w:rPr>
          <w:szCs w:val="22"/>
        </w:rPr>
        <w:t xml:space="preserve"> Labelling Review Recommendation 17 states that per serving information should be retained in the NIP when %DI information is voluntarily included.</w:t>
      </w:r>
    </w:p>
    <w:p w14:paraId="5ED76EA2" w14:textId="731EC477" w:rsidR="001C2624" w:rsidRDefault="001C2624" w:rsidP="00BB5D26">
      <w:pPr>
        <w:rPr>
          <w:lang w:bidi="ar-SA"/>
        </w:rPr>
      </w:pPr>
    </w:p>
    <w:p w14:paraId="77397A89" w14:textId="3C76CD7A" w:rsidR="001C2624" w:rsidRPr="001C2624" w:rsidRDefault="001C2624" w:rsidP="00BB5D26">
      <w:pPr>
        <w:rPr>
          <w:rFonts w:ascii="Arial Bold" w:hAnsi="Arial Bold"/>
          <w:b/>
          <w:lang w:bidi="ar-SA"/>
        </w:rPr>
      </w:pPr>
      <w:r w:rsidRPr="001C2624">
        <w:rPr>
          <w:b/>
          <w:lang w:bidi="ar-SA"/>
        </w:rPr>
        <w:t xml:space="preserve">FSANZ commissioned research </w:t>
      </w:r>
      <w:r>
        <w:rPr>
          <w:b/>
          <w:lang w:bidi="ar-SA"/>
        </w:rPr>
        <w:t>(summary of findings relevant to L</w:t>
      </w:r>
      <w:r w:rsidR="00812617">
        <w:rPr>
          <w:b/>
          <w:lang w:bidi="ar-SA"/>
        </w:rPr>
        <w:t xml:space="preserve">abelling </w:t>
      </w:r>
      <w:r>
        <w:rPr>
          <w:b/>
          <w:lang w:bidi="ar-SA"/>
        </w:rPr>
        <w:t>R</w:t>
      </w:r>
      <w:r w:rsidR="00812617">
        <w:rPr>
          <w:b/>
          <w:lang w:bidi="ar-SA"/>
        </w:rPr>
        <w:t xml:space="preserve">eview Recommendation </w:t>
      </w:r>
      <w:r>
        <w:rPr>
          <w:b/>
          <w:lang w:bidi="ar-SA"/>
        </w:rPr>
        <w:t>17)</w:t>
      </w:r>
    </w:p>
    <w:p w14:paraId="2554F352" w14:textId="77777777" w:rsidR="001C2624" w:rsidRDefault="001C2624" w:rsidP="00BB5D26">
      <w:pPr>
        <w:rPr>
          <w:lang w:bidi="ar-SA"/>
        </w:rPr>
      </w:pPr>
    </w:p>
    <w:p w14:paraId="11C7CBE5" w14:textId="384D1B9D" w:rsidR="001C2624" w:rsidRDefault="001C2624" w:rsidP="001C2624">
      <w:r>
        <w:t>There is some evidence that per serving information in the NIP may be confusing some consumers. In a qualitative study conducted before the NIP was standardised, people were confused over the per serving</w:t>
      </w:r>
      <w:r w:rsidRPr="007573E3">
        <w:t xml:space="preserve"> and </w:t>
      </w:r>
      <w:r>
        <w:t>per 100 g/100 mL</w:t>
      </w:r>
      <w:r w:rsidRPr="002F7090" w:rsidDel="002F7090">
        <w:t xml:space="preserve"> </w:t>
      </w:r>
      <w:r w:rsidRPr="007573E3">
        <w:t>columns</w:t>
      </w:r>
      <w:r>
        <w:t xml:space="preserve"> </w:t>
      </w:r>
      <w:r>
        <w:fldChar w:fldCharType="begin" w:fldLock="1"/>
      </w:r>
      <w:r>
        <w:instrText>ADDIN CSL_CITATION { "citationItems" : [ { "id" : "ITEM-1", "itemData" : { "author" : [ { "dropping-particle" : "", "family" : "NFO Donovan Research", "given" : "", "non-dropping-particle" : "", "parse-names" : false, "suffix" : "" } ], "id" : "ITEM-1", "issue" : "December", "issued" : { "date-parts" : [ [ "2001" ] ] }, "publisher-place" : "Canberra", "title" : "Food Labelling Issues - Consumer Qualitative Research", "type" : "report" }, "uris" : [ "http://www.mendeley.com/documents/?uuid=08e76664-c605-4fdd-96bd-6f3db019ae89" ] } ], "mendeley" : { "previouslyFormattedCitation" : "(NFO Donovan Research 2001)" }, "properties" : { "noteIndex" : 0 }, "schema" : "https://github.com/citation-style-language/schema/raw/master/csl-citation.json" }</w:instrText>
      </w:r>
      <w:r>
        <w:fldChar w:fldCharType="separate"/>
      </w:r>
      <w:r w:rsidRPr="00532341">
        <w:rPr>
          <w:noProof/>
        </w:rPr>
        <w:t>(NFO Donovan Research 2001)</w:t>
      </w:r>
      <w:r>
        <w:fldChar w:fldCharType="end"/>
      </w:r>
      <w:r>
        <w:t xml:space="preserve">. The research concluded that </w:t>
      </w:r>
      <w:r w:rsidRPr="00F10735">
        <w:rPr>
          <w:i/>
        </w:rPr>
        <w:t>although participants were divided in their preferences for information to be presented per 100 g (%) or per serving, the overall preference tended to be for 100 g as this was viewed as easier to work with. Nonetheless, having both was viewed as an acceptable format and of value in different circumstances</w:t>
      </w:r>
      <w:r>
        <w:t xml:space="preserve"> (p.34). In particular, the per serving column was viewed as providing information on the nutrient amounts that the person would actually consume.</w:t>
      </w:r>
    </w:p>
    <w:p w14:paraId="38E5D6ED" w14:textId="77777777" w:rsidR="001C2624" w:rsidRDefault="001C2624" w:rsidP="001C2624"/>
    <w:p w14:paraId="6473078E" w14:textId="648229D1" w:rsidR="001C2624" w:rsidRDefault="001C2624" w:rsidP="001C2624">
      <w:r>
        <w:t>When asked to make nutrition assessments of various foods using experimental NIP formats, Australian and New Zealand research participants were more likely to use the per serving information</w:t>
      </w:r>
      <w:r w:rsidR="007F42EB">
        <w:t xml:space="preserve"> (50% participants)</w:t>
      </w:r>
      <w:r>
        <w:t xml:space="preserve"> than the per 100 g/100 mL</w:t>
      </w:r>
      <w:r w:rsidRPr="002F7090" w:rsidDel="002F7090">
        <w:t xml:space="preserve"> </w:t>
      </w:r>
      <w:r>
        <w:t xml:space="preserve">information (39% </w:t>
      </w:r>
      <w:r w:rsidR="007F42EB">
        <w:t>participants</w:t>
      </w:r>
      <w:r>
        <w:t xml:space="preserve">) </w:t>
      </w:r>
      <w:r>
        <w:fldChar w:fldCharType="begin" w:fldLock="1"/>
      </w:r>
      <w:r>
        <w:instrText>ADDIN CSL_CITATION { "citationItems" : [ { "id" : "ITEM-1", "itemData" : { "author" : [ { "dropping-particle" : "", "family" : "Scott", "given" : "Vicky", "non-dropping-particle" : "", "parse-names" : false, "suffix" : "" }, { "dropping-particle" : "", "family" : "Allen", "given" : "Jane", "non-dropping-particle" : "", "parse-names" : false, "suffix" : "" }, { "dropping-particle" : "", "family" : "Cumming", "given" : "Fiona", "non-dropping-particle" : "", "parse-names" : false, "suffix" : "" } ], "id" : "ITEM-1", "issue" : "March", "issued" : { "date-parts" : [ [ "1999" ] ] }, "publisher-place" : "Canberra", "title" : "Consumer Reactions to Three Different Nutrition Information Panel Formats", "type" : "report" }, "uris" : [ "http://www.mendeley.com/documents/?uuid=9ec471ea-e2f2-41f5-965f-2c9b565b10d6" ] } ], "mendeley" : { "previouslyFormattedCitation" : "(Scott et al. 1999)" }, "properties" : { "noteIndex" : 0 }, "schema" : "https://github.com/citation-style-language/schema/raw/master/csl-citation.json" }</w:instrText>
      </w:r>
      <w:r>
        <w:fldChar w:fldCharType="separate"/>
      </w:r>
      <w:r w:rsidRPr="007F4A66">
        <w:rPr>
          <w:noProof/>
        </w:rPr>
        <w:t>(Scott et al. 1999)</w:t>
      </w:r>
      <w:r>
        <w:fldChar w:fldCharType="end"/>
      </w:r>
      <w:r>
        <w:t xml:space="preserve">. Participants were more likely to use the per serving column both for making judgements about a single food (48% compared to 35% who used per 100 g/100 mL) and for comparing two foods (52% compared to 43% who used per 100 g/100 mL). However, the percentage of correct nutritional judgements was unaffected by which column of information was used (65% correct judgements for both). </w:t>
      </w:r>
    </w:p>
    <w:p w14:paraId="2BF5BB0A" w14:textId="77777777" w:rsidR="001C2624" w:rsidRDefault="001C2624" w:rsidP="001C2624"/>
    <w:p w14:paraId="0D152A0E" w14:textId="77777777" w:rsidR="001C2624" w:rsidRDefault="001C2624" w:rsidP="001C2624">
      <w:r>
        <w:t xml:space="preserve">When shown a picture of the nutrition information for a tub of yoghurt and asked what pieces of information they would use when considering purchasing, 4% of Australian and New Zealand respondents mentioned the per serving column </w:t>
      </w:r>
      <w:r>
        <w:fldChar w:fldCharType="begin" w:fldLock="1"/>
      </w:r>
      <w:r>
        <w:instrText>ADDIN CSL_CITATION { "citationItems" : [ { "id" : "ITEM-1", "itemData" : { "author" : [ { "dropping-particle" : "", "family" : "NFO Donovan Research", "given" : "", "non-dropping-particle" : "", "parse-names" : false, "suffix" : "" } ], "id" : "ITEM-1", "issue" : "4", "issued" : { "date-parts" : [ [ "2003" ] ] }, "publisher-place" : "Canberra", "title" : "FOOD LABELLING ISSUES : Quantitative Research with Consumers EVALUATION REPORT SERIES NO . 4", "type" : "report" }, "uris" : [ "http://www.mendeley.com/documents/?uuid=cad2961b-e75c-48a5-8a78-bb8c4dbc0c4f" ] } ], "mendeley" : { "previouslyFormattedCitation" : "(NFO Donovan Research 2003)" }, "properties" : { "noteIndex" : 0 }, "schema" : "https://github.com/citation-style-language/schema/raw/master/csl-citation.json" }</w:instrText>
      </w:r>
      <w:r>
        <w:fldChar w:fldCharType="separate"/>
      </w:r>
      <w:r w:rsidRPr="000B6090">
        <w:rPr>
          <w:noProof/>
        </w:rPr>
        <w:t>(NFO Donovan Research 2003)</w:t>
      </w:r>
      <w:r>
        <w:fldChar w:fldCharType="end"/>
      </w:r>
      <w:r>
        <w:t xml:space="preserve">. However, when asked to choose the healthier product based on two snack food NIPs, where the serving size was the same, 54% reported that they mainly used the per serving column. Only 30% reported using the </w:t>
      </w:r>
      <w:r w:rsidRPr="002F7090">
        <w:t>per 100 g/</w:t>
      </w:r>
      <w:r>
        <w:t xml:space="preserve">100 mL column, and 15% reported using both columns. In a subsequent evaluation for crackers, where the serving sizes differed between the two products, 55% reported using per </w:t>
      </w:r>
      <w:r w:rsidRPr="007E6AF4">
        <w:t xml:space="preserve">serving </w:t>
      </w:r>
      <w:r>
        <w:t>information compared with</w:t>
      </w:r>
      <w:r w:rsidRPr="007E6AF4">
        <w:t xml:space="preserve"> 31% who used the </w:t>
      </w:r>
      <w:r>
        <w:t>per 100 g/100 mL</w:t>
      </w:r>
      <w:r w:rsidRPr="007E6AF4" w:rsidDel="002F7090">
        <w:t xml:space="preserve"> </w:t>
      </w:r>
      <w:r w:rsidRPr="007E6AF4">
        <w:t>column. However, there was no</w:t>
      </w:r>
      <w:r>
        <w:t xml:space="preserve"> significant effect of column use on whether the correct (healthier) choice was selected.</w:t>
      </w:r>
    </w:p>
    <w:p w14:paraId="7FFB1022" w14:textId="77777777" w:rsidR="001C2624" w:rsidRDefault="001C2624" w:rsidP="001C2624"/>
    <w:p w14:paraId="5DA6D944" w14:textId="77777777" w:rsidR="001C2624" w:rsidRDefault="001C2624" w:rsidP="001C2624">
      <w:r>
        <w:t>The FSANZ Consumer Attitudes Survey 2007 asked respondents about both use of the per serving column and use of the per 100 g/100 mL</w:t>
      </w:r>
      <w:r w:rsidRPr="002F7090" w:rsidDel="002F7090">
        <w:t xml:space="preserve"> </w:t>
      </w:r>
      <w:r>
        <w:t xml:space="preserve">column. Use of the </w:t>
      </w:r>
      <w:r w:rsidRPr="002F7090">
        <w:t>pe</w:t>
      </w:r>
      <w:r>
        <w:t xml:space="preserve">r 100 g/100 mL column was slightly more common: 24% of Australians and 19% of New Zealanders reported using this information when purchasing a product for the first time, compared with 21% and 13%, respectively, for the per serving column </w:t>
      </w:r>
      <w:r>
        <w:fldChar w:fldCharType="begin" w:fldLock="1"/>
      </w:r>
      <w:r>
        <w:instrText>ADDIN CSL_CITATION { "citationItems" : [ { "id" : "ITEM-1", "itemData" : { "ISBN" : "9780642345561", "author" : [ { "dropping-particle" : "", "family" : "TNS Social Research", "given" : "", "non-dropping-particle" : "", "parse-names" : false, "suffix" : "" } ], "id" : "ITEM-1", "issue" : "January", "issued" : { "date-parts" : [ [ "2008" ] ] }, "publisher-place" : "Canberra", "title" : "Consumer Attitudes Survey 2007", "type" : "report" }, "uris" : [ "http://www.mendeley.com/documents/?uuid=e7aab446-8ad7-4939-a835-f2e6288919db" ] } ], "mendeley" : { "previouslyFormattedCitation" : "(TNS Social Research 2008)" }, "properties" : { "noteIndex" : 0 }, "schema" : "https://github.com/citation-style-language/schema/raw/master/csl-citation.json" }</w:instrText>
      </w:r>
      <w:r>
        <w:fldChar w:fldCharType="separate"/>
      </w:r>
      <w:r w:rsidRPr="00BC6610">
        <w:rPr>
          <w:noProof/>
        </w:rPr>
        <w:t>(TNS Social Research 2008)</w:t>
      </w:r>
      <w:r>
        <w:fldChar w:fldCharType="end"/>
      </w:r>
      <w:r>
        <w:t xml:space="preserve">. </w:t>
      </w:r>
    </w:p>
    <w:p w14:paraId="64E9FBB7" w14:textId="77777777" w:rsidR="001C2624" w:rsidRDefault="001C2624" w:rsidP="001C2624"/>
    <w:p w14:paraId="3A862A6D" w14:textId="4074D7C1" w:rsidR="00500548" w:rsidRDefault="001C2624" w:rsidP="001C2624">
      <w:r>
        <w:t xml:space="preserve">While the NIP is a source of nutrient information for consumers, health professionals also use the information. One qualitative study of health professionals in Australia and New Zealand examined this issue </w:t>
      </w:r>
      <w:r>
        <w:fldChar w:fldCharType="begin" w:fldLock="1"/>
      </w:r>
      <w:r>
        <w:instrText>ADDIN CSL_CITATION { "citationItems" : [ { "id" : "ITEM-1", "itemData" : { "author" : [ { "dropping-particle" : "", "family" : "NFO Donovan Research", "given" : "", "non-dropping-particle" : "", "parse-names" : false, "suffix" : "" } ], "id" : "ITEM-1", "issue" : "April", "issued" : { "date-parts" : [ [ "2002" ] ] }, "publisher-place" : "Canberra", "title" : "Food Labelling Issues - Stakeholder Qualitative Research", "type" : "report" }, "uris" : [ "http://www.mendeley.com/documents/?uuid=8165c9bc-b5c4-4086-a8e7-e28787a2f2cb" ] } ], "mendeley" : { "previouslyFormattedCitation" : "(NFO Donovan Research 2002)" }, "properties" : { "noteIndex" : 0 }, "schema" : "https://github.com/citation-style-language/schema/raw/master/csl-citation.json" }</w:instrText>
      </w:r>
      <w:r>
        <w:fldChar w:fldCharType="separate"/>
      </w:r>
      <w:r w:rsidRPr="00DC263A">
        <w:rPr>
          <w:noProof/>
        </w:rPr>
        <w:t>(NFO Donovan Research 2002)</w:t>
      </w:r>
      <w:r>
        <w:fldChar w:fldCharType="end"/>
      </w:r>
      <w:r>
        <w:t>. Nutritionists used the NIP to educate clients about key nutrients such as fat, sugar and fibre, assist in weight-loss discussions, and to explain and contextualise nutrient content claims. Nutritionists wanted both columns, although they had a preference for the per 100 g/100 mL</w:t>
      </w:r>
      <w:r w:rsidRPr="002F7090" w:rsidDel="002F7090">
        <w:t xml:space="preserve"> </w:t>
      </w:r>
      <w:r>
        <w:t xml:space="preserve">column, as this column provides a standardised basis for comparisons between products and brands. The per serving column was viewed as useful only when the serving size was practical and realistic. Another criticism of the per serving column was the units used, as some nutritionists in New Zealand felt that a cup-based measurement would more accurately reflect how consumers measure out food. General practitioners (GPs) tended to use the NIP when counselling clients on weight management. Again, while GPs found both columns in the NIP useful, the per serving column was viewed as not helpful when the amount was unrealistic in </w:t>
      </w:r>
      <w:r>
        <w:lastRenderedPageBreak/>
        <w:t>terms of how much would actually be consumed by a client.</w:t>
      </w:r>
    </w:p>
    <w:p w14:paraId="687DE2DB" w14:textId="77777777" w:rsidR="00F90A56" w:rsidRDefault="00F90A56" w:rsidP="001C2624"/>
    <w:p w14:paraId="190C0EBE" w14:textId="139EE595" w:rsidR="00F90A56" w:rsidRPr="00F90A56" w:rsidRDefault="00F90A56" w:rsidP="001C2624">
      <w:pPr>
        <w:rPr>
          <w:b/>
        </w:rPr>
      </w:pPr>
      <w:r w:rsidRPr="00F90A56">
        <w:rPr>
          <w:b/>
        </w:rPr>
        <w:t>References</w:t>
      </w:r>
    </w:p>
    <w:p w14:paraId="0D2A3185" w14:textId="77777777" w:rsidR="00F90A56" w:rsidRPr="00DA1A2D" w:rsidRDefault="00F90A56" w:rsidP="00F90A56">
      <w:pPr>
        <w:pStyle w:val="NormalWeb"/>
        <w:rPr>
          <w:rFonts w:ascii="Arial" w:hAnsi="Arial" w:cs="Arial"/>
          <w:noProof/>
          <w:sz w:val="20"/>
          <w:szCs w:val="20"/>
        </w:rPr>
      </w:pPr>
      <w:r w:rsidRPr="00DA1A2D">
        <w:rPr>
          <w:rFonts w:ascii="Arial" w:hAnsi="Arial" w:cs="Arial"/>
          <w:noProof/>
          <w:sz w:val="20"/>
          <w:szCs w:val="20"/>
        </w:rPr>
        <w:t xml:space="preserve">NFO Donovan Research (2001) </w:t>
      </w:r>
      <w:r w:rsidRPr="00DA1A2D">
        <w:rPr>
          <w:rFonts w:ascii="Arial" w:hAnsi="Arial" w:cs="Arial"/>
          <w:iCs/>
          <w:noProof/>
          <w:sz w:val="20"/>
          <w:szCs w:val="20"/>
        </w:rPr>
        <w:t>Food Labelling Issues - Consumer Qualitative Research</w:t>
      </w:r>
      <w:r w:rsidRPr="00DA1A2D">
        <w:rPr>
          <w:rFonts w:ascii="Arial" w:hAnsi="Arial" w:cs="Arial"/>
          <w:noProof/>
          <w:sz w:val="20"/>
          <w:szCs w:val="20"/>
        </w:rPr>
        <w:t xml:space="preserve">. Canberra </w:t>
      </w:r>
      <w:hyperlink r:id="rId33" w:history="1">
        <w:r w:rsidRPr="00DA1A2D">
          <w:rPr>
            <w:rStyle w:val="Hyperlink"/>
            <w:rFonts w:ascii="Arial" w:hAnsi="Arial" w:cs="Arial"/>
            <w:noProof/>
            <w:sz w:val="20"/>
            <w:szCs w:val="20"/>
          </w:rPr>
          <w:t>http://www.foodstandards.gov.au/publications/pages/evaluationreportseries/foodlabellingissuesconsumer/Default.aspx</w:t>
        </w:r>
      </w:hyperlink>
      <w:r w:rsidRPr="00DA1A2D">
        <w:rPr>
          <w:rFonts w:ascii="Arial" w:hAnsi="Arial" w:cs="Arial"/>
          <w:noProof/>
          <w:sz w:val="20"/>
          <w:szCs w:val="20"/>
        </w:rPr>
        <w:t>. Accessed 11 November 2014</w:t>
      </w:r>
    </w:p>
    <w:p w14:paraId="26BA74B7" w14:textId="77777777" w:rsidR="00F90A56" w:rsidRPr="00DA1A2D" w:rsidRDefault="00F90A56" w:rsidP="00F90A56">
      <w:pPr>
        <w:pStyle w:val="NormalWeb"/>
        <w:rPr>
          <w:rFonts w:ascii="Arial" w:hAnsi="Arial" w:cs="Arial"/>
          <w:noProof/>
          <w:sz w:val="20"/>
          <w:szCs w:val="20"/>
        </w:rPr>
      </w:pPr>
      <w:r w:rsidRPr="00DA1A2D">
        <w:rPr>
          <w:rFonts w:ascii="Arial" w:hAnsi="Arial" w:cs="Arial"/>
          <w:noProof/>
          <w:sz w:val="20"/>
          <w:szCs w:val="20"/>
        </w:rPr>
        <w:t xml:space="preserve">NFO Donovan Research (2002) </w:t>
      </w:r>
      <w:r w:rsidRPr="00DA1A2D">
        <w:rPr>
          <w:rFonts w:ascii="Arial" w:hAnsi="Arial" w:cs="Arial"/>
          <w:iCs/>
          <w:noProof/>
          <w:sz w:val="20"/>
          <w:szCs w:val="20"/>
        </w:rPr>
        <w:t>Food Labelling Issues – Stakeholder Qualitative Research</w:t>
      </w:r>
      <w:r w:rsidRPr="00DA1A2D">
        <w:rPr>
          <w:rFonts w:ascii="Arial" w:hAnsi="Arial" w:cs="Arial"/>
          <w:noProof/>
          <w:sz w:val="20"/>
          <w:szCs w:val="20"/>
        </w:rPr>
        <w:t xml:space="preserve">. Canberra </w:t>
      </w:r>
      <w:hyperlink r:id="rId34" w:history="1">
        <w:r w:rsidRPr="00DA1A2D">
          <w:rPr>
            <w:rStyle w:val="Hyperlink"/>
            <w:rFonts w:ascii="Arial" w:hAnsi="Arial" w:cs="Arial"/>
            <w:noProof/>
            <w:sz w:val="20"/>
            <w:szCs w:val="20"/>
          </w:rPr>
          <w:t>http://www.foodstandards.gov.au/publications/pages/evaluationreportseries/foodlabellingissuesquantitative/foodlabellingissuess1583.aspx</w:t>
        </w:r>
      </w:hyperlink>
      <w:r w:rsidRPr="00DA1A2D">
        <w:rPr>
          <w:rFonts w:ascii="Arial" w:hAnsi="Arial" w:cs="Arial"/>
          <w:noProof/>
          <w:sz w:val="20"/>
          <w:szCs w:val="20"/>
        </w:rPr>
        <w:t xml:space="preserve"> Accessed 11 November 2014</w:t>
      </w:r>
    </w:p>
    <w:p w14:paraId="5A1C4933" w14:textId="77777777" w:rsidR="00F90A56" w:rsidRPr="00DA1A2D" w:rsidRDefault="00F90A56" w:rsidP="00F90A56">
      <w:pPr>
        <w:pStyle w:val="NormalWeb"/>
        <w:rPr>
          <w:rFonts w:ascii="Arial" w:hAnsi="Arial" w:cs="Arial"/>
          <w:noProof/>
          <w:sz w:val="20"/>
          <w:szCs w:val="20"/>
        </w:rPr>
      </w:pPr>
      <w:r w:rsidRPr="00DA1A2D">
        <w:rPr>
          <w:rFonts w:ascii="Arial" w:hAnsi="Arial" w:cs="Arial"/>
          <w:noProof/>
          <w:sz w:val="20"/>
          <w:szCs w:val="20"/>
        </w:rPr>
        <w:t xml:space="preserve">NFO Donovan Research (2003) </w:t>
      </w:r>
      <w:r w:rsidRPr="00DA1A2D">
        <w:rPr>
          <w:rFonts w:ascii="Arial" w:hAnsi="Arial" w:cs="Arial"/>
          <w:iCs/>
          <w:noProof/>
          <w:sz w:val="20"/>
          <w:szCs w:val="20"/>
        </w:rPr>
        <w:t>Food Labelling Issues</w:t>
      </w:r>
      <w:r w:rsidRPr="00DA1A2D">
        <w:rPr>
          <w:rFonts w:ascii="Arial" w:hAnsi="Arial" w:cs="Arial"/>
          <w:i/>
          <w:iCs/>
          <w:noProof/>
          <w:sz w:val="20"/>
          <w:szCs w:val="20"/>
        </w:rPr>
        <w:t xml:space="preserve"> : </w:t>
      </w:r>
      <w:r w:rsidRPr="00DA1A2D">
        <w:rPr>
          <w:rFonts w:ascii="Arial" w:hAnsi="Arial" w:cs="Arial"/>
          <w:iCs/>
          <w:noProof/>
          <w:sz w:val="20"/>
          <w:szCs w:val="20"/>
        </w:rPr>
        <w:t>Quantitative Research with Consumers.</w:t>
      </w:r>
      <w:r w:rsidRPr="00DA1A2D">
        <w:rPr>
          <w:rFonts w:ascii="Arial" w:hAnsi="Arial" w:cs="Arial"/>
          <w:i/>
          <w:iCs/>
          <w:noProof/>
          <w:sz w:val="20"/>
          <w:szCs w:val="20"/>
        </w:rPr>
        <w:t xml:space="preserve"> </w:t>
      </w:r>
      <w:r w:rsidRPr="00DA1A2D">
        <w:rPr>
          <w:rFonts w:ascii="Arial" w:hAnsi="Arial" w:cs="Arial"/>
          <w:iCs/>
          <w:noProof/>
          <w:sz w:val="20"/>
          <w:szCs w:val="20"/>
        </w:rPr>
        <w:t>Evaluation Report Series No. 4</w:t>
      </w:r>
      <w:r w:rsidRPr="00DA1A2D">
        <w:rPr>
          <w:rFonts w:ascii="Arial" w:hAnsi="Arial" w:cs="Arial"/>
          <w:noProof/>
          <w:sz w:val="20"/>
          <w:szCs w:val="20"/>
        </w:rPr>
        <w:t xml:space="preserve">, Canberra </w:t>
      </w:r>
      <w:hyperlink r:id="rId35" w:history="1">
        <w:r w:rsidRPr="00DA1A2D">
          <w:rPr>
            <w:rStyle w:val="Hyperlink"/>
            <w:rFonts w:ascii="Arial" w:hAnsi="Arial" w:cs="Arial"/>
            <w:noProof/>
            <w:sz w:val="20"/>
            <w:szCs w:val="20"/>
          </w:rPr>
          <w:t>http://www.foodstandards.gov.au/publications/pages/evaluationreportseries/foodlabellingissuesquantitative/Default.aspx</w:t>
        </w:r>
      </w:hyperlink>
      <w:r w:rsidRPr="00DA1A2D">
        <w:rPr>
          <w:rFonts w:ascii="Arial" w:hAnsi="Arial" w:cs="Arial"/>
          <w:noProof/>
          <w:sz w:val="20"/>
          <w:szCs w:val="20"/>
        </w:rPr>
        <w:t xml:space="preserve"> Accessed 11 November 2014</w:t>
      </w:r>
    </w:p>
    <w:p w14:paraId="0A3116A0" w14:textId="77777777" w:rsidR="00F90A56" w:rsidRPr="00DA1A2D" w:rsidRDefault="00F90A56" w:rsidP="00F90A56">
      <w:pPr>
        <w:pStyle w:val="NormalWeb"/>
        <w:rPr>
          <w:rFonts w:ascii="Arial" w:hAnsi="Arial" w:cs="Arial"/>
          <w:noProof/>
          <w:sz w:val="20"/>
          <w:szCs w:val="20"/>
        </w:rPr>
      </w:pPr>
      <w:r w:rsidRPr="00DA1A2D">
        <w:rPr>
          <w:rFonts w:ascii="Arial" w:hAnsi="Arial" w:cs="Arial"/>
          <w:noProof/>
          <w:sz w:val="20"/>
          <w:szCs w:val="20"/>
        </w:rPr>
        <w:t xml:space="preserve">Scott V, Allen J, Cumming F (1999) </w:t>
      </w:r>
      <w:r w:rsidRPr="00DA1A2D">
        <w:rPr>
          <w:rFonts w:ascii="Arial" w:hAnsi="Arial" w:cs="Arial"/>
          <w:iCs/>
          <w:noProof/>
          <w:sz w:val="20"/>
          <w:szCs w:val="20"/>
        </w:rPr>
        <w:t>Consumer Reactions to Three Different Nutrition Information Panel Formats</w:t>
      </w:r>
      <w:r w:rsidRPr="00DA1A2D">
        <w:rPr>
          <w:rFonts w:ascii="Arial" w:hAnsi="Arial" w:cs="Arial"/>
          <w:noProof/>
          <w:sz w:val="20"/>
          <w:szCs w:val="20"/>
        </w:rPr>
        <w:t xml:space="preserve">. Canberra </w:t>
      </w:r>
    </w:p>
    <w:p w14:paraId="183DBD96" w14:textId="77777777" w:rsidR="00F90A56" w:rsidRPr="00DA1A2D" w:rsidRDefault="00F90A56" w:rsidP="00F90A56">
      <w:pPr>
        <w:pStyle w:val="NormalWeb"/>
        <w:rPr>
          <w:rFonts w:ascii="Arial" w:hAnsi="Arial" w:cs="Arial"/>
          <w:noProof/>
          <w:sz w:val="20"/>
          <w:szCs w:val="20"/>
        </w:rPr>
      </w:pPr>
      <w:r w:rsidRPr="00DA1A2D">
        <w:rPr>
          <w:rFonts w:ascii="Arial" w:hAnsi="Arial" w:cs="Arial"/>
          <w:noProof/>
          <w:sz w:val="20"/>
          <w:szCs w:val="20"/>
        </w:rPr>
        <w:t xml:space="preserve">TNS Social Research (2008) </w:t>
      </w:r>
      <w:r w:rsidRPr="00DA1A2D">
        <w:rPr>
          <w:rFonts w:ascii="Arial" w:hAnsi="Arial" w:cs="Arial"/>
          <w:iCs/>
          <w:noProof/>
          <w:sz w:val="20"/>
          <w:szCs w:val="20"/>
        </w:rPr>
        <w:t>Consumer Attitudes Survey 2007</w:t>
      </w:r>
      <w:r w:rsidRPr="00DA1A2D">
        <w:rPr>
          <w:rFonts w:ascii="Arial" w:hAnsi="Arial" w:cs="Arial"/>
          <w:noProof/>
          <w:sz w:val="20"/>
          <w:szCs w:val="20"/>
        </w:rPr>
        <w:t xml:space="preserve">. Canberra </w:t>
      </w:r>
      <w:hyperlink r:id="rId36" w:history="1">
        <w:r w:rsidRPr="00DA1A2D">
          <w:rPr>
            <w:rStyle w:val="Hyperlink"/>
            <w:rFonts w:ascii="Arial" w:hAnsi="Arial" w:cs="Arial"/>
            <w:noProof/>
            <w:sz w:val="20"/>
            <w:szCs w:val="20"/>
          </w:rPr>
          <w:t>http://www.foodstandards.gov.au/publications/pages/consumerattitiudes/Default.aspx</w:t>
        </w:r>
      </w:hyperlink>
      <w:r w:rsidRPr="00DA1A2D">
        <w:rPr>
          <w:rFonts w:ascii="Arial" w:hAnsi="Arial" w:cs="Arial"/>
          <w:noProof/>
          <w:sz w:val="20"/>
          <w:szCs w:val="20"/>
        </w:rPr>
        <w:t>. Accessed 11 November 2014</w:t>
      </w:r>
    </w:p>
    <w:p w14:paraId="26E2A3A9" w14:textId="77777777" w:rsidR="00F90A56" w:rsidRDefault="00F90A56" w:rsidP="001C2624"/>
    <w:sectPr w:rsidR="00F90A56" w:rsidSect="004038E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A3276" w14:textId="77777777" w:rsidR="008429DD" w:rsidRDefault="008429DD">
      <w:r>
        <w:separator/>
      </w:r>
    </w:p>
  </w:endnote>
  <w:endnote w:type="continuationSeparator" w:id="0">
    <w:p w14:paraId="6F540E6F" w14:textId="77777777" w:rsidR="008429DD" w:rsidRDefault="008429DD">
      <w:r>
        <w:continuationSeparator/>
      </w:r>
    </w:p>
  </w:endnote>
  <w:endnote w:type="continuationNotice" w:id="1">
    <w:p w14:paraId="43011354" w14:textId="77777777" w:rsidR="008429DD" w:rsidRDefault="00842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5D0A8" w14:textId="77777777" w:rsidR="008429DD" w:rsidRDefault="008429D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5D0A9" w14:textId="77777777" w:rsidR="008429DD" w:rsidRDefault="00842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EEBB" w14:textId="71BDF303" w:rsidR="008429DD" w:rsidRDefault="008429DD">
    <w:pPr>
      <w:pStyle w:val="Footer"/>
      <w:jc w:val="center"/>
    </w:pPr>
    <w:r>
      <w:t>i</w:t>
    </w:r>
  </w:p>
  <w:p w14:paraId="7EC5D0AA" w14:textId="4B0EB809" w:rsidR="008429DD" w:rsidRDefault="008429DD" w:rsidP="00A671E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EF084" w14:textId="768C8EDD" w:rsidR="008429DD" w:rsidRDefault="008429DD">
    <w:pPr>
      <w:pStyle w:val="Footer"/>
      <w:jc w:val="center"/>
    </w:pPr>
  </w:p>
  <w:p w14:paraId="1C35161A" w14:textId="77777777" w:rsidR="008429DD" w:rsidRDefault="008429DD" w:rsidP="00A671E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382360"/>
      <w:docPartObj>
        <w:docPartGallery w:val="Page Numbers (Bottom of Page)"/>
        <w:docPartUnique/>
      </w:docPartObj>
    </w:sdtPr>
    <w:sdtEndPr>
      <w:rPr>
        <w:noProof/>
      </w:rPr>
    </w:sdtEndPr>
    <w:sdtContent>
      <w:p w14:paraId="3772B045" w14:textId="77777777" w:rsidR="008429DD" w:rsidRDefault="008429DD">
        <w:pPr>
          <w:pStyle w:val="Footer"/>
          <w:jc w:val="center"/>
        </w:pPr>
        <w:r>
          <w:fldChar w:fldCharType="begin"/>
        </w:r>
        <w:r>
          <w:instrText xml:space="preserve"> PAGE   \* MERGEFORMAT </w:instrText>
        </w:r>
        <w:r>
          <w:fldChar w:fldCharType="separate"/>
        </w:r>
        <w:r w:rsidR="00814ED9">
          <w:rPr>
            <w:noProof/>
          </w:rPr>
          <w:t>24</w:t>
        </w:r>
        <w:r>
          <w:rPr>
            <w:noProof/>
          </w:rPr>
          <w:fldChar w:fldCharType="end"/>
        </w:r>
      </w:p>
    </w:sdtContent>
  </w:sdt>
  <w:p w14:paraId="45E11C43" w14:textId="77777777" w:rsidR="008429DD" w:rsidRDefault="008429DD" w:rsidP="00A671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EEA01" w14:textId="77777777" w:rsidR="008429DD" w:rsidRDefault="008429DD">
      <w:r>
        <w:separator/>
      </w:r>
    </w:p>
  </w:footnote>
  <w:footnote w:type="continuationSeparator" w:id="0">
    <w:p w14:paraId="07DD8A5A" w14:textId="77777777" w:rsidR="008429DD" w:rsidRDefault="008429DD">
      <w:r>
        <w:continuationSeparator/>
      </w:r>
    </w:p>
  </w:footnote>
  <w:footnote w:type="continuationNotice" w:id="1">
    <w:p w14:paraId="0AF9F799" w14:textId="77777777" w:rsidR="008429DD" w:rsidRDefault="008429DD"/>
  </w:footnote>
  <w:footnote w:id="2">
    <w:p w14:paraId="7EC5D0AC" w14:textId="77777777" w:rsidR="008429DD" w:rsidRPr="002628AB" w:rsidRDefault="008429DD" w:rsidP="00AD05C9">
      <w:pPr>
        <w:pStyle w:val="FootnoteText"/>
        <w:rPr>
          <w:sz w:val="18"/>
          <w:szCs w:val="18"/>
          <w:lang w:val="en-AU"/>
        </w:rPr>
      </w:pPr>
      <w:r w:rsidRPr="002628AB">
        <w:rPr>
          <w:rStyle w:val="FootnoteReference"/>
          <w:sz w:val="18"/>
          <w:szCs w:val="18"/>
        </w:rPr>
        <w:footnoteRef/>
      </w:r>
      <w:r w:rsidRPr="002628AB">
        <w:rPr>
          <w:sz w:val="18"/>
          <w:szCs w:val="18"/>
        </w:rPr>
        <w:t xml:space="preserve"> </w:t>
      </w:r>
      <w:r w:rsidRPr="002628AB">
        <w:rPr>
          <w:sz w:val="18"/>
          <w:szCs w:val="18"/>
          <w:lang w:val="en-AU"/>
        </w:rPr>
        <w:t xml:space="preserve">Government response to </w:t>
      </w:r>
      <w:r w:rsidRPr="00F02866">
        <w:rPr>
          <w:i/>
          <w:sz w:val="18"/>
          <w:szCs w:val="18"/>
          <w:lang w:val="en-AU"/>
        </w:rPr>
        <w:t>Labelling Logic</w:t>
      </w:r>
      <w:r w:rsidRPr="002628AB">
        <w:rPr>
          <w:sz w:val="18"/>
          <w:szCs w:val="18"/>
          <w:lang w:val="en-AU"/>
        </w:rPr>
        <w:t xml:space="preserve"> is at </w:t>
      </w:r>
      <w:hyperlink r:id="rId1" w:history="1">
        <w:r w:rsidRPr="002628AB">
          <w:rPr>
            <w:rStyle w:val="Hyperlink"/>
            <w:sz w:val="18"/>
            <w:szCs w:val="18"/>
            <w:lang w:val="en-AU"/>
          </w:rPr>
          <w:t>http://www.foodlabellingreview.gov.au/internet/foodlabelling/publishing.nsf/content/home</w:t>
        </w:r>
      </w:hyperlink>
      <w:r w:rsidRPr="002628AB">
        <w:rPr>
          <w:sz w:val="18"/>
          <w:szCs w:val="18"/>
          <w:lang w:val="en-AU"/>
        </w:rPr>
        <w:t xml:space="preserve"> </w:t>
      </w:r>
    </w:p>
  </w:footnote>
  <w:footnote w:id="3">
    <w:p w14:paraId="4B66B31B" w14:textId="77777777" w:rsidR="008429DD" w:rsidRDefault="008429DD" w:rsidP="00BD04B0">
      <w:pPr>
        <w:pStyle w:val="FootnoteText"/>
        <w:rPr>
          <w:sz w:val="18"/>
          <w:szCs w:val="18"/>
        </w:rPr>
      </w:pPr>
      <w:r>
        <w:rPr>
          <w:rStyle w:val="FootnoteReference"/>
          <w:sz w:val="18"/>
          <w:szCs w:val="18"/>
        </w:rPr>
        <w:footnoteRef/>
      </w:r>
      <w:r>
        <w:rPr>
          <w:sz w:val="18"/>
          <w:szCs w:val="18"/>
        </w:rPr>
        <w:t xml:space="preserve"> Biologically active substance is defined in clause 1 of Standard 1.2.8 and means a substance, other than a nutrient, with which health effects are associated. </w:t>
      </w:r>
    </w:p>
  </w:footnote>
  <w:footnote w:id="4">
    <w:p w14:paraId="0C7B259F" w14:textId="77777777" w:rsidR="008429DD" w:rsidRDefault="008429DD" w:rsidP="00506A7C">
      <w:pPr>
        <w:pStyle w:val="FootnoteText"/>
        <w:rPr>
          <w:i/>
          <w:lang w:val="en-AU"/>
        </w:rPr>
      </w:pPr>
      <w:r>
        <w:rPr>
          <w:rStyle w:val="FootnoteReference"/>
          <w:sz w:val="18"/>
          <w:szCs w:val="18"/>
        </w:rPr>
        <w:footnoteRef/>
      </w:r>
      <w:r>
        <w:rPr>
          <w:sz w:val="18"/>
          <w:szCs w:val="18"/>
        </w:rPr>
        <w:t xml:space="preserve"> Subclause 4(1) in Standard 1.2.8 states: </w:t>
      </w:r>
      <w:r>
        <w:rPr>
          <w:i/>
          <w:sz w:val="18"/>
          <w:szCs w:val="18"/>
        </w:rPr>
        <w:t>A claim requiring nutrition information means – (a) a nutrition content claim; or (b) a health claim; but does not include – (c) a declaration that is required by the Act, or (d) an endorsement.</w:t>
      </w:r>
    </w:p>
  </w:footnote>
  <w:footnote w:id="5">
    <w:p w14:paraId="7EC5D0B1" w14:textId="77777777" w:rsidR="008429DD" w:rsidRPr="00A17EDC" w:rsidRDefault="008429DD" w:rsidP="00E856A5">
      <w:pPr>
        <w:pStyle w:val="FootnoteText"/>
        <w:rPr>
          <w:rFonts w:cs="Arial"/>
          <w:sz w:val="18"/>
          <w:szCs w:val="18"/>
          <w:lang w:val="en-AU"/>
        </w:rPr>
      </w:pPr>
      <w:r w:rsidRPr="00A17EDC">
        <w:rPr>
          <w:rStyle w:val="FootnoteReference"/>
          <w:rFonts w:cs="Arial"/>
          <w:sz w:val="18"/>
          <w:szCs w:val="18"/>
        </w:rPr>
        <w:footnoteRef/>
      </w:r>
      <w:r w:rsidRPr="00A17EDC">
        <w:rPr>
          <w:rFonts w:cs="Arial"/>
          <w:sz w:val="18"/>
          <w:szCs w:val="18"/>
        </w:rPr>
        <w:t xml:space="preserve"> Percent Daily Value is similar to %DI in the Code. </w:t>
      </w:r>
      <w:r>
        <w:rPr>
          <w:rFonts w:cs="Arial"/>
          <w:sz w:val="18"/>
          <w:szCs w:val="18"/>
          <w:lang w:val="en-AU"/>
        </w:rPr>
        <w:t>In the USA</w:t>
      </w:r>
      <w:r w:rsidRPr="00A17EDC">
        <w:rPr>
          <w:rFonts w:cs="Arial"/>
          <w:sz w:val="18"/>
          <w:szCs w:val="18"/>
          <w:lang w:val="en-AU"/>
        </w:rPr>
        <w:t xml:space="preserve"> and Canada percent daily values (%DVs) </w:t>
      </w:r>
      <w:r w:rsidRPr="00A17EDC">
        <w:rPr>
          <w:rFonts w:cs="Arial"/>
          <w:color w:val="333333"/>
          <w:sz w:val="18"/>
          <w:szCs w:val="18"/>
          <w:lang w:val="en"/>
        </w:rPr>
        <w:t>are based on the Daily Value recommendations for key nutrients for a 2000 calorie daily diet (8360 kJ). The Daily Value recommendations for fat, saturated fatty acids, carbohydrate, sodium and dietary fibre are similar but not identical to those used in Standard 1.2.8.</w:t>
      </w:r>
    </w:p>
  </w:footnote>
  <w:footnote w:id="6">
    <w:p w14:paraId="7EC5D0B2" w14:textId="77777777" w:rsidR="008429DD" w:rsidRPr="0031283F" w:rsidRDefault="008429DD" w:rsidP="001360B6">
      <w:pPr>
        <w:pStyle w:val="FootnoteText"/>
        <w:rPr>
          <w:lang w:val="en-AU"/>
        </w:rPr>
      </w:pPr>
      <w:r>
        <w:rPr>
          <w:rStyle w:val="FootnoteReference"/>
        </w:rPr>
        <w:footnoteRef/>
      </w:r>
      <w:r>
        <w:t xml:space="preserve"> </w:t>
      </w:r>
      <w:r>
        <w:rPr>
          <w:lang w:val="en-AU"/>
        </w:rPr>
        <w:t xml:space="preserve">The consultation paper and submissions are available at </w:t>
      </w:r>
      <w:hyperlink r:id="rId2" w:history="1">
        <w:r w:rsidRPr="00443751">
          <w:rPr>
            <w:rStyle w:val="Hyperlink"/>
            <w:lang w:val="en-AU"/>
          </w:rPr>
          <w:t>http://www.foodstandards.gov.au/consumer/labelling/review/Pages/labelling-review-recommendation-17.aspx</w:t>
        </w:r>
      </w:hyperlink>
      <w:r>
        <w:rPr>
          <w:lang w:val="en-AU"/>
        </w:rPr>
        <w:t xml:space="preserve">. </w:t>
      </w:r>
    </w:p>
  </w:footnote>
  <w:footnote w:id="7">
    <w:p w14:paraId="36056413" w14:textId="461488C7" w:rsidR="008429DD" w:rsidRDefault="008429DD" w:rsidP="00955C54">
      <w:pPr>
        <w:pStyle w:val="FootnoteText"/>
        <w:rPr>
          <w:lang w:val="en-AU"/>
        </w:rPr>
      </w:pPr>
      <w:r>
        <w:rPr>
          <w:rStyle w:val="FootnoteReference"/>
          <w:sz w:val="18"/>
          <w:szCs w:val="18"/>
        </w:rPr>
        <w:footnoteRef/>
      </w:r>
      <w:r>
        <w:rPr>
          <w:sz w:val="18"/>
          <w:szCs w:val="18"/>
        </w:rPr>
        <w:t xml:space="preserve"> For example, information about the Healthy Kids Association programme in New South Wales is at </w:t>
      </w:r>
      <w:hyperlink r:id="rId3" w:history="1">
        <w:r>
          <w:rPr>
            <w:rStyle w:val="Hyperlink"/>
            <w:sz w:val="18"/>
            <w:szCs w:val="18"/>
          </w:rPr>
          <w:t>http://healthy-kids.com.au/</w:t>
        </w:r>
      </w:hyperlink>
      <w:r>
        <w:t xml:space="preserve"> </w:t>
      </w:r>
    </w:p>
  </w:footnote>
  <w:footnote w:id="8">
    <w:p w14:paraId="0A62A954" w14:textId="77777777" w:rsidR="008429DD" w:rsidRDefault="008429DD" w:rsidP="000D1E2E">
      <w:pPr>
        <w:pStyle w:val="FootnoteText"/>
        <w:rPr>
          <w:sz w:val="18"/>
          <w:szCs w:val="18"/>
          <w:lang w:val="en-AU"/>
        </w:rPr>
      </w:pPr>
      <w:r>
        <w:rPr>
          <w:rStyle w:val="FootnoteReference"/>
          <w:sz w:val="18"/>
          <w:szCs w:val="18"/>
        </w:rPr>
        <w:footnoteRef/>
      </w:r>
      <w:r>
        <w:rPr>
          <w:sz w:val="18"/>
          <w:szCs w:val="18"/>
        </w:rPr>
        <w:t xml:space="preserve"> Information about the Pick-the-Tick programme is at  </w:t>
      </w:r>
      <w:hyperlink r:id="rId4" w:history="1">
        <w:r>
          <w:rPr>
            <w:rStyle w:val="Hyperlink"/>
            <w:sz w:val="18"/>
            <w:szCs w:val="18"/>
          </w:rPr>
          <w:t>http://www.heartfoundation.org.nz/healthy-living/healthy-eating/heart-foundation-tick</w:t>
        </w:r>
      </w:hyperlink>
      <w:r>
        <w:rPr>
          <w:sz w:val="18"/>
          <w:szCs w:val="18"/>
        </w:rPr>
        <w:t xml:space="preserve"> and </w:t>
      </w:r>
      <w:hyperlink r:id="rId5" w:history="1">
        <w:r>
          <w:rPr>
            <w:rStyle w:val="Hyperlink"/>
            <w:sz w:val="18"/>
            <w:szCs w:val="18"/>
          </w:rPr>
          <w:t>http://www.heartfoundation.org.au/healthy-eating/heart-foundation-tick/pages/default.aspx</w:t>
        </w:r>
      </w:hyperlink>
      <w:r>
        <w:rPr>
          <w:sz w:val="18"/>
          <w:szCs w:val="18"/>
        </w:rPr>
        <w:t xml:space="preserve"> </w:t>
      </w:r>
    </w:p>
  </w:footnote>
  <w:footnote w:id="9">
    <w:p w14:paraId="31BC29C9" w14:textId="18128BE3" w:rsidR="008429DD" w:rsidRPr="00814182" w:rsidRDefault="008429DD">
      <w:pPr>
        <w:pStyle w:val="FootnoteText"/>
        <w:rPr>
          <w:lang w:val="en-AU"/>
        </w:rPr>
      </w:pPr>
      <w:r>
        <w:rPr>
          <w:rStyle w:val="FootnoteReference"/>
        </w:rPr>
        <w:footnoteRef/>
      </w:r>
      <w:r>
        <w:t xml:space="preserve"> This legislation </w:t>
      </w:r>
      <w:r w:rsidRPr="00814182">
        <w:t>requires quick-service restaurants to display kilojoule information (per serving/item on menus).</w:t>
      </w:r>
    </w:p>
  </w:footnote>
  <w:footnote w:id="10">
    <w:p w14:paraId="4AC31B68" w14:textId="4CC5600B" w:rsidR="008429DD" w:rsidRPr="00A17EDC" w:rsidRDefault="008429DD" w:rsidP="00810A8A">
      <w:pPr>
        <w:pStyle w:val="FootnoteText"/>
        <w:rPr>
          <w:sz w:val="18"/>
          <w:szCs w:val="18"/>
          <w:lang w:val="en-NZ"/>
        </w:rPr>
      </w:pPr>
      <w:r w:rsidRPr="00A17EDC">
        <w:rPr>
          <w:rStyle w:val="FootnoteReference"/>
          <w:sz w:val="18"/>
          <w:szCs w:val="18"/>
        </w:rPr>
        <w:footnoteRef/>
      </w:r>
      <w:r w:rsidRPr="00A17EDC">
        <w:rPr>
          <w:sz w:val="18"/>
          <w:szCs w:val="18"/>
        </w:rPr>
        <w:t xml:space="preserve"> </w:t>
      </w:r>
      <w:r w:rsidRPr="00A17EDC">
        <w:rPr>
          <w:sz w:val="18"/>
          <w:szCs w:val="18"/>
          <w:lang w:val="en-NZ"/>
        </w:rPr>
        <w:t xml:space="preserve">Further information on the </w:t>
      </w:r>
      <w:r>
        <w:rPr>
          <w:sz w:val="18"/>
          <w:szCs w:val="18"/>
          <w:lang w:val="en-NZ"/>
        </w:rPr>
        <w:t xml:space="preserve">Food and Health </w:t>
      </w:r>
      <w:r w:rsidRPr="00A17EDC">
        <w:rPr>
          <w:sz w:val="18"/>
          <w:szCs w:val="18"/>
          <w:lang w:val="en-NZ"/>
        </w:rPr>
        <w:t xml:space="preserve">Dialogue is at </w:t>
      </w:r>
      <w:hyperlink r:id="rId6" w:history="1">
        <w:r w:rsidRPr="00A17EDC">
          <w:rPr>
            <w:rStyle w:val="Hyperlink"/>
            <w:sz w:val="18"/>
            <w:szCs w:val="18"/>
            <w:lang w:val="en-NZ"/>
          </w:rPr>
          <w:t>http://www.foodhealthdialogue.gov.au/internet/foodandhealth/publishing.nsf</w:t>
        </w:r>
      </w:hyperlink>
      <w:r w:rsidRPr="00A17EDC">
        <w:rPr>
          <w:sz w:val="18"/>
          <w:szCs w:val="18"/>
          <w:lang w:val="en-NZ"/>
        </w:rPr>
        <w:t xml:space="preserve"> </w:t>
      </w:r>
    </w:p>
  </w:footnote>
  <w:footnote w:id="11">
    <w:p w14:paraId="7ADBF08F" w14:textId="4E8117B1" w:rsidR="008429DD" w:rsidRPr="00C81D43" w:rsidRDefault="008429DD">
      <w:pPr>
        <w:pStyle w:val="FootnoteText"/>
        <w:rPr>
          <w:lang w:val="en-AU"/>
        </w:rPr>
      </w:pPr>
      <w:r>
        <w:rPr>
          <w:rStyle w:val="FootnoteReference"/>
        </w:rPr>
        <w:footnoteRef/>
      </w:r>
      <w:r>
        <w:t xml:space="preserve"> </w:t>
      </w:r>
      <w:r>
        <w:rPr>
          <w:sz w:val="18"/>
          <w:szCs w:val="18"/>
          <w:lang w:val="en-AU"/>
        </w:rPr>
        <w:t>T</w:t>
      </w:r>
      <w:r w:rsidRPr="00D71312">
        <w:rPr>
          <w:sz w:val="18"/>
          <w:szCs w:val="18"/>
          <w:lang w:val="en-AU"/>
        </w:rPr>
        <w:t>he current Code expires on 1 March 2016, when the revised Code developed under Proposal P1025 takes effect and Chapters 1 and 2 of the current Code are repealed.</w:t>
      </w:r>
      <w:r>
        <w:rPr>
          <w:sz w:val="18"/>
          <w:szCs w:val="18"/>
          <w:lang w:val="en-AU"/>
        </w:rPr>
        <w:t xml:space="preserve"> All the Code requirements presented in Attachment A are in the revised Code.</w:t>
      </w:r>
    </w:p>
  </w:footnote>
  <w:footnote w:id="12">
    <w:p w14:paraId="7812647D" w14:textId="77777777" w:rsidR="008429DD" w:rsidRPr="001309CF" w:rsidRDefault="008429DD" w:rsidP="00F27073">
      <w:pPr>
        <w:pStyle w:val="FootnoteText"/>
        <w:rPr>
          <w:sz w:val="18"/>
          <w:szCs w:val="18"/>
        </w:rPr>
      </w:pPr>
      <w:r w:rsidRPr="001309CF">
        <w:rPr>
          <w:rStyle w:val="FootnoteReference"/>
          <w:sz w:val="18"/>
          <w:szCs w:val="18"/>
        </w:rPr>
        <w:footnoteRef/>
      </w:r>
      <w:r w:rsidRPr="001309CF">
        <w:rPr>
          <w:sz w:val="18"/>
          <w:szCs w:val="18"/>
        </w:rPr>
        <w:t xml:space="preserve"> Biologically active substance is defined in clause 1 of Standard 1.2.8 and means a substance, other than a nutrient, with which health effects are associated. </w:t>
      </w:r>
    </w:p>
  </w:footnote>
  <w:footnote w:id="13">
    <w:p w14:paraId="74A61202" w14:textId="77777777" w:rsidR="008429DD" w:rsidRPr="006663FA" w:rsidRDefault="008429DD" w:rsidP="00F27073">
      <w:pPr>
        <w:pStyle w:val="FootnoteText"/>
        <w:rPr>
          <w:i/>
          <w:lang w:val="en-AU"/>
        </w:rPr>
      </w:pPr>
      <w:r w:rsidRPr="001309CF">
        <w:rPr>
          <w:rStyle w:val="FootnoteReference"/>
          <w:sz w:val="18"/>
          <w:szCs w:val="18"/>
        </w:rPr>
        <w:footnoteRef/>
      </w:r>
      <w:r w:rsidRPr="001309CF">
        <w:rPr>
          <w:sz w:val="18"/>
          <w:szCs w:val="18"/>
        </w:rPr>
        <w:t xml:space="preserve"> Subclause 4(1) in Standard 1.2.8 states: </w:t>
      </w:r>
      <w:r w:rsidRPr="001309CF">
        <w:rPr>
          <w:i/>
          <w:sz w:val="18"/>
          <w:szCs w:val="18"/>
        </w:rPr>
        <w:t>A claim requiring nutrition information means – (a) a nutrition content claim; or (b) a health claim; but does not include – (c) a declaration that is required by the Act, or (d) an endorsement.</w:t>
      </w:r>
    </w:p>
  </w:footnote>
  <w:footnote w:id="14">
    <w:p w14:paraId="220DC7A5" w14:textId="77777777" w:rsidR="008429DD" w:rsidRPr="00A17EDC" w:rsidRDefault="008429DD" w:rsidP="00F27073">
      <w:pPr>
        <w:pStyle w:val="FootnoteText"/>
        <w:rPr>
          <w:sz w:val="18"/>
          <w:szCs w:val="18"/>
          <w:lang w:val="en-NZ"/>
        </w:rPr>
      </w:pPr>
      <w:r w:rsidRPr="00A17EDC">
        <w:rPr>
          <w:rStyle w:val="FootnoteReference"/>
          <w:sz w:val="18"/>
          <w:szCs w:val="18"/>
        </w:rPr>
        <w:footnoteRef/>
      </w:r>
      <w:r w:rsidRPr="00A17EDC">
        <w:rPr>
          <w:sz w:val="18"/>
          <w:szCs w:val="18"/>
        </w:rPr>
        <w:t xml:space="preserve"> A small package means a package with a surface area of less than 100 cm</w:t>
      </w:r>
      <w:r w:rsidRPr="00A17EDC">
        <w:rPr>
          <w:sz w:val="18"/>
          <w:szCs w:val="18"/>
          <w:vertAlign w:val="superscript"/>
        </w:rPr>
        <w:t>2</w:t>
      </w:r>
      <w:r w:rsidRPr="00A17EDC">
        <w:rPr>
          <w:sz w:val="18"/>
          <w:szCs w:val="18"/>
        </w:rPr>
        <w:t>.</w:t>
      </w:r>
    </w:p>
  </w:footnote>
  <w:footnote w:id="15">
    <w:p w14:paraId="05B0D498" w14:textId="77777777" w:rsidR="008429DD" w:rsidRPr="000D0F35" w:rsidRDefault="008429DD" w:rsidP="00D841E6">
      <w:pPr>
        <w:pStyle w:val="FootnoteText"/>
        <w:rPr>
          <w:sz w:val="18"/>
          <w:szCs w:val="18"/>
          <w:lang w:val="en-NZ"/>
        </w:rPr>
      </w:pPr>
      <w:r w:rsidRPr="000D0F35">
        <w:rPr>
          <w:rStyle w:val="FootnoteReference"/>
          <w:sz w:val="18"/>
          <w:szCs w:val="18"/>
        </w:rPr>
        <w:footnoteRef/>
      </w:r>
      <w:r w:rsidRPr="000D0F35">
        <w:rPr>
          <w:sz w:val="18"/>
          <w:szCs w:val="18"/>
        </w:rPr>
        <w:t xml:space="preserve"> </w:t>
      </w:r>
      <w:r w:rsidRPr="000D0F35">
        <w:rPr>
          <w:sz w:val="18"/>
          <w:szCs w:val="18"/>
          <w:lang w:val="en-NZ"/>
        </w:rPr>
        <w:t xml:space="preserve">The user guide for Standard 1.2.8 is at </w:t>
      </w:r>
      <w:hyperlink r:id="rId7" w:history="1">
        <w:r w:rsidRPr="000D0F35">
          <w:rPr>
            <w:rStyle w:val="Hyperlink"/>
            <w:sz w:val="18"/>
            <w:szCs w:val="18"/>
            <w:lang w:val="en-NZ"/>
          </w:rPr>
          <w:t>http://www.foodstandards.gov.au/code/userguide/pages/nutritioninformation1406.aspx</w:t>
        </w:r>
      </w:hyperlink>
      <w:r w:rsidRPr="000D0F35">
        <w:rPr>
          <w:sz w:val="18"/>
          <w:szCs w:val="18"/>
          <w:lang w:val="en-NZ"/>
        </w:rPr>
        <w:t xml:space="preserve"> </w:t>
      </w:r>
    </w:p>
  </w:footnote>
  <w:footnote w:id="16">
    <w:p w14:paraId="7EC5D0B5" w14:textId="77777777" w:rsidR="008429DD" w:rsidRPr="005E43BF" w:rsidRDefault="008429DD" w:rsidP="00AD05C9">
      <w:pPr>
        <w:pStyle w:val="FootnoteText"/>
        <w:rPr>
          <w:sz w:val="18"/>
          <w:szCs w:val="18"/>
          <w:lang w:val="en-AU"/>
        </w:rPr>
      </w:pPr>
      <w:r w:rsidRPr="005E43BF">
        <w:rPr>
          <w:rStyle w:val="FootnoteReference"/>
          <w:sz w:val="18"/>
          <w:szCs w:val="18"/>
        </w:rPr>
        <w:footnoteRef/>
      </w:r>
      <w:r w:rsidRPr="005E43BF">
        <w:rPr>
          <w:sz w:val="18"/>
          <w:szCs w:val="18"/>
        </w:rPr>
        <w:t xml:space="preserve"> Information about Health Canada’s review of the nutrition facts table is at </w:t>
      </w:r>
      <w:hyperlink r:id="rId8" w:history="1">
        <w:r w:rsidRPr="005E43BF">
          <w:rPr>
            <w:rStyle w:val="Hyperlink"/>
            <w:sz w:val="18"/>
            <w:szCs w:val="18"/>
          </w:rPr>
          <w:t>http://www.hc-sc.gc.ca/fn-an/label-etiquet/consultation/index-eng.php</w:t>
        </w:r>
      </w:hyperlink>
      <w:r w:rsidRPr="005E43BF">
        <w:rPr>
          <w:sz w:val="18"/>
          <w:szCs w:val="18"/>
        </w:rPr>
        <w:t xml:space="preserve"> </w:t>
      </w:r>
    </w:p>
  </w:footnote>
  <w:footnote w:id="17">
    <w:p w14:paraId="7EC5D0B6" w14:textId="77777777" w:rsidR="008429DD" w:rsidRPr="005E43BF" w:rsidRDefault="008429DD" w:rsidP="00AD05C9">
      <w:pPr>
        <w:pStyle w:val="FootnoteText"/>
        <w:rPr>
          <w:sz w:val="18"/>
          <w:szCs w:val="18"/>
          <w:lang w:val="en-AU"/>
        </w:rPr>
      </w:pPr>
      <w:r w:rsidRPr="005E43BF">
        <w:rPr>
          <w:rStyle w:val="FootnoteReference"/>
          <w:sz w:val="18"/>
          <w:szCs w:val="18"/>
        </w:rPr>
        <w:footnoteRef/>
      </w:r>
      <w:r w:rsidRPr="005E43BF">
        <w:rPr>
          <w:sz w:val="18"/>
          <w:szCs w:val="18"/>
        </w:rPr>
        <w:t xml:space="preserve"> Information of the proposed changes to serving sizes is at </w:t>
      </w:r>
      <w:hyperlink r:id="rId9" w:history="1">
        <w:r w:rsidRPr="005E43BF">
          <w:rPr>
            <w:rStyle w:val="Hyperlink"/>
            <w:sz w:val="18"/>
            <w:szCs w:val="18"/>
          </w:rPr>
          <w:t>http://www.hc-sc.gc.ca/fn-an/consult/2014-serving-size-portion-indiquee-fs-fr-eng.php</w:t>
        </w:r>
      </w:hyperlink>
      <w:r w:rsidRPr="005E43BF">
        <w:rPr>
          <w:sz w:val="18"/>
          <w:szCs w:val="18"/>
        </w:rPr>
        <w:t xml:space="preserve"> </w:t>
      </w:r>
    </w:p>
  </w:footnote>
  <w:footnote w:id="18">
    <w:p w14:paraId="7EC5D0B7" w14:textId="77777777" w:rsidR="008429DD" w:rsidRPr="005E43BF" w:rsidRDefault="008429DD" w:rsidP="00AD05C9">
      <w:pPr>
        <w:pStyle w:val="FootnoteText"/>
        <w:rPr>
          <w:lang w:val="en-AU"/>
        </w:rPr>
      </w:pPr>
      <w:r w:rsidRPr="005E43BF">
        <w:rPr>
          <w:rStyle w:val="FootnoteReference"/>
          <w:sz w:val="18"/>
          <w:szCs w:val="18"/>
        </w:rPr>
        <w:footnoteRef/>
      </w:r>
      <w:r w:rsidRPr="005E43BF">
        <w:rPr>
          <w:sz w:val="18"/>
          <w:szCs w:val="18"/>
        </w:rPr>
        <w:t xml:space="preserve"> </w:t>
      </w:r>
      <w:r w:rsidRPr="005E43BF">
        <w:rPr>
          <w:sz w:val="18"/>
          <w:szCs w:val="18"/>
          <w:lang w:val="en-AU"/>
        </w:rPr>
        <w:t>Fu</w:t>
      </w:r>
      <w:r>
        <w:rPr>
          <w:sz w:val="18"/>
          <w:szCs w:val="18"/>
          <w:lang w:val="en-AU"/>
        </w:rPr>
        <w:t>r</w:t>
      </w:r>
      <w:r w:rsidRPr="005E43BF">
        <w:rPr>
          <w:sz w:val="18"/>
          <w:szCs w:val="18"/>
          <w:lang w:val="en-AU"/>
        </w:rPr>
        <w:t xml:space="preserve">ther information about the </w:t>
      </w:r>
      <w:r>
        <w:rPr>
          <w:sz w:val="18"/>
          <w:szCs w:val="18"/>
          <w:lang w:val="en-AU"/>
        </w:rPr>
        <w:t>proposed changes to serving sizes</w:t>
      </w:r>
      <w:r w:rsidRPr="005E43BF">
        <w:rPr>
          <w:sz w:val="18"/>
          <w:szCs w:val="18"/>
          <w:lang w:val="en-AU"/>
        </w:rPr>
        <w:t xml:space="preserve"> is at </w:t>
      </w:r>
      <w:hyperlink r:id="rId10" w:history="1">
        <w:r w:rsidRPr="005E43BF">
          <w:rPr>
            <w:rStyle w:val="Hyperlink"/>
            <w:sz w:val="18"/>
            <w:szCs w:val="18"/>
            <w:lang w:val="en-AU"/>
          </w:rPr>
          <w:t>http://www.fda.gov/Food/GuidanceRegulation/GuidanceDocumentsRegulatoryInformation/LabelingNutrition/ucm385663.htm</w:t>
        </w:r>
      </w:hyperlink>
      <w:r>
        <w:rPr>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5D0A7" w14:textId="0C88E1E1" w:rsidR="008429DD" w:rsidRPr="004551D2" w:rsidRDefault="008429DD" w:rsidP="004551D2">
    <w:pPr>
      <w:pStyle w:val="Header"/>
      <w:jc w:val="center"/>
      <w:rPr>
        <w:b/>
        <w:bCs/>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5D0AB" w14:textId="77777777" w:rsidR="008429DD" w:rsidRDefault="008429DD">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BD8"/>
    <w:multiLevelType w:val="hybridMultilevel"/>
    <w:tmpl w:val="4F805F36"/>
    <w:lvl w:ilvl="0" w:tplc="0C090001">
      <w:start w:val="1"/>
      <w:numFmt w:val="bullet"/>
      <w:lvlText w:val=""/>
      <w:lvlJc w:val="left"/>
      <w:pPr>
        <w:ind w:left="720" w:hanging="360"/>
      </w:pPr>
      <w:rPr>
        <w:rFonts w:ascii="Symbol" w:hAnsi="Symbol" w:hint="default"/>
      </w:rPr>
    </w:lvl>
    <w:lvl w:ilvl="1" w:tplc="757A50B4">
      <w:start w:val="1"/>
      <w:numFmt w:val="bullet"/>
      <w:lvlText w:val="-"/>
      <w:lvlJc w:val="left"/>
      <w:pPr>
        <w:ind w:left="1440" w:hanging="360"/>
      </w:pPr>
      <w:rPr>
        <w:rFonts w:ascii="Times New Roman" w:hAnsi="Times New Roman" w:cs="Times New Roman"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2B2126A"/>
    <w:multiLevelType w:val="hybridMultilevel"/>
    <w:tmpl w:val="620CE894"/>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A04624F"/>
    <w:multiLevelType w:val="hybridMultilevel"/>
    <w:tmpl w:val="74F2E530"/>
    <w:lvl w:ilvl="0" w:tplc="0C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47334A5"/>
    <w:multiLevelType w:val="hybridMultilevel"/>
    <w:tmpl w:val="AC4C5E70"/>
    <w:lvl w:ilvl="0" w:tplc="0C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6114934"/>
    <w:multiLevelType w:val="hybridMultilevel"/>
    <w:tmpl w:val="47526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E7D48AE"/>
    <w:multiLevelType w:val="hybridMultilevel"/>
    <w:tmpl w:val="EE942D60"/>
    <w:lvl w:ilvl="0" w:tplc="0C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6F5C4B"/>
    <w:multiLevelType w:val="hybridMultilevel"/>
    <w:tmpl w:val="DC0C6790"/>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77A2A6D"/>
    <w:multiLevelType w:val="hybridMultilevel"/>
    <w:tmpl w:val="B70E112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90134BF"/>
    <w:multiLevelType w:val="hybridMultilevel"/>
    <w:tmpl w:val="D5FCD43A"/>
    <w:lvl w:ilvl="0" w:tplc="0C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5EF3EDF"/>
    <w:multiLevelType w:val="hybridMultilevel"/>
    <w:tmpl w:val="3FC030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9C032A4"/>
    <w:multiLevelType w:val="hybridMultilevel"/>
    <w:tmpl w:val="024A0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CFA7E59"/>
    <w:multiLevelType w:val="hybridMultilevel"/>
    <w:tmpl w:val="BFA81252"/>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0746E86"/>
    <w:multiLevelType w:val="hybridMultilevel"/>
    <w:tmpl w:val="B52839EE"/>
    <w:lvl w:ilvl="0" w:tplc="0C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B99679E"/>
    <w:multiLevelType w:val="singleLevel"/>
    <w:tmpl w:val="18086914"/>
    <w:lvl w:ilvl="0">
      <w:start w:val="1"/>
      <w:numFmt w:val="bullet"/>
      <w:pStyle w:val="ISCbulleted"/>
      <w:lvlText w:val=""/>
      <w:lvlJc w:val="left"/>
      <w:pPr>
        <w:tabs>
          <w:tab w:val="num" w:pos="360"/>
        </w:tabs>
        <w:ind w:left="360" w:hanging="360"/>
      </w:pPr>
      <w:rPr>
        <w:rFonts w:ascii="Symbol" w:hAnsi="Symbol" w:hint="default"/>
        <w:sz w:val="12"/>
      </w:rPr>
    </w:lvl>
  </w:abstractNum>
  <w:abstractNum w:abstractNumId="18">
    <w:nsid w:val="4C6632D0"/>
    <w:multiLevelType w:val="hybridMultilevel"/>
    <w:tmpl w:val="040C7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7458F5"/>
    <w:multiLevelType w:val="hybridMultilevel"/>
    <w:tmpl w:val="F9304440"/>
    <w:lvl w:ilvl="0" w:tplc="0C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1">
    <w:nsid w:val="585A3A0B"/>
    <w:multiLevelType w:val="hybridMultilevel"/>
    <w:tmpl w:val="D8E2F710"/>
    <w:lvl w:ilvl="0" w:tplc="19C4DBEE">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598471ED"/>
    <w:multiLevelType w:val="hybridMultilevel"/>
    <w:tmpl w:val="D05CE42A"/>
    <w:lvl w:ilvl="0" w:tplc="0C090001">
      <w:start w:val="1"/>
      <w:numFmt w:val="bullet"/>
      <w:lvlText w:val=""/>
      <w:lvlJc w:val="left"/>
      <w:pPr>
        <w:ind w:left="720" w:hanging="360"/>
      </w:pPr>
      <w:rPr>
        <w:rFonts w:ascii="Symbol" w:hAnsi="Symbol" w:hint="default"/>
      </w:rPr>
    </w:lvl>
    <w:lvl w:ilvl="1" w:tplc="EAE4C986">
      <w:start w:val="1"/>
      <w:numFmt w:val="bullet"/>
      <w:lvlText w:val="-"/>
      <w:lvlJc w:val="left"/>
      <w:pPr>
        <w:ind w:left="1440" w:hanging="360"/>
      </w:pPr>
      <w:rPr>
        <w:rFonts w:ascii="Arial" w:eastAsia="Times New Roman" w:hAnsi="Arial" w:cs="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ED60C9A"/>
    <w:multiLevelType w:val="hybridMultilevel"/>
    <w:tmpl w:val="8040880A"/>
    <w:lvl w:ilvl="0" w:tplc="47E6D9B4">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nsid w:val="60B53FE4"/>
    <w:multiLevelType w:val="hybridMultilevel"/>
    <w:tmpl w:val="B8F060C0"/>
    <w:lvl w:ilvl="0" w:tplc="19C4DBEE">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2F05BE9"/>
    <w:multiLevelType w:val="hybridMultilevel"/>
    <w:tmpl w:val="AD288884"/>
    <w:lvl w:ilvl="0" w:tplc="19C4DBEE">
      <w:start w:val="1"/>
      <w:numFmt w:val="bullet"/>
      <w:lvlText w:val="-"/>
      <w:lvlJc w:val="left"/>
      <w:pPr>
        <w:ind w:left="720" w:hanging="360"/>
      </w:pPr>
      <w:rPr>
        <w:rFonts w:ascii="Courier New" w:hAnsi="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3283758"/>
    <w:multiLevelType w:val="hybridMultilevel"/>
    <w:tmpl w:val="CD92D9F2"/>
    <w:lvl w:ilvl="0" w:tplc="0C090001">
      <w:start w:val="1"/>
      <w:numFmt w:val="bullet"/>
      <w:lvlText w:val=""/>
      <w:lvlJc w:val="left"/>
      <w:pPr>
        <w:ind w:left="720" w:hanging="360"/>
      </w:pPr>
      <w:rPr>
        <w:rFonts w:ascii="Symbol" w:hAnsi="Symbol" w:hint="default"/>
      </w:rPr>
    </w:lvl>
    <w:lvl w:ilvl="1" w:tplc="EAE4C986">
      <w:start w:val="1"/>
      <w:numFmt w:val="bullet"/>
      <w:lvlText w:val="-"/>
      <w:lvlJc w:val="left"/>
      <w:pPr>
        <w:ind w:left="1440" w:hanging="360"/>
      </w:pPr>
      <w:rPr>
        <w:rFonts w:ascii="Arial" w:eastAsia="Times New Roman" w:hAnsi="Arial" w:cs="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5635F11"/>
    <w:multiLevelType w:val="hybridMultilevel"/>
    <w:tmpl w:val="A754DAC8"/>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79C1809"/>
    <w:multiLevelType w:val="hybridMultilevel"/>
    <w:tmpl w:val="25382BF6"/>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69FC481F"/>
    <w:multiLevelType w:val="hybridMultilevel"/>
    <w:tmpl w:val="348AFE58"/>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FA266E9"/>
    <w:multiLevelType w:val="hybridMultilevel"/>
    <w:tmpl w:val="7020DAC2"/>
    <w:lvl w:ilvl="0" w:tplc="0C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2">
    <w:nsid w:val="71B6301F"/>
    <w:multiLevelType w:val="hybridMultilevel"/>
    <w:tmpl w:val="B030CA14"/>
    <w:lvl w:ilvl="0" w:tplc="0C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A294EE3"/>
    <w:multiLevelType w:val="hybridMultilevel"/>
    <w:tmpl w:val="554E11D0"/>
    <w:lvl w:ilvl="0" w:tplc="0C090001">
      <w:start w:val="1"/>
      <w:numFmt w:val="bullet"/>
      <w:lvlText w:val=""/>
      <w:lvlJc w:val="left"/>
      <w:pPr>
        <w:ind w:left="720" w:hanging="360"/>
      </w:pPr>
      <w:rPr>
        <w:rFonts w:ascii="Symbol" w:hAnsi="Symbol" w:hint="default"/>
      </w:rPr>
    </w:lvl>
    <w:lvl w:ilvl="1" w:tplc="EAE4C986">
      <w:start w:val="1"/>
      <w:numFmt w:val="bullet"/>
      <w:lvlText w:val="-"/>
      <w:lvlJc w:val="left"/>
      <w:pPr>
        <w:ind w:left="1440" w:hanging="360"/>
      </w:pPr>
      <w:rPr>
        <w:rFonts w:ascii="Arial" w:eastAsia="Times New Roman" w:hAnsi="Arial" w:cs="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EDD2D90"/>
    <w:multiLevelType w:val="hybridMultilevel"/>
    <w:tmpl w:val="335A7F44"/>
    <w:lvl w:ilvl="0" w:tplc="0C090001">
      <w:start w:val="1"/>
      <w:numFmt w:val="bullet"/>
      <w:lvlText w:val=""/>
      <w:lvlJc w:val="left"/>
      <w:pPr>
        <w:ind w:left="360" w:hanging="360"/>
      </w:pPr>
      <w:rPr>
        <w:rFonts w:ascii="Symbol" w:hAnsi="Symbol" w:hint="default"/>
      </w:rPr>
    </w:lvl>
    <w:lvl w:ilvl="1" w:tplc="EAE4C986">
      <w:start w:val="1"/>
      <w:numFmt w:val="bullet"/>
      <w:lvlText w:val="-"/>
      <w:lvlJc w:val="left"/>
      <w:pPr>
        <w:ind w:left="1080" w:hanging="360"/>
      </w:pPr>
      <w:rPr>
        <w:rFonts w:ascii="Arial" w:eastAsia="Times New Roman" w:hAnsi="Arial" w:cs="Aria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7F930C18"/>
    <w:multiLevelType w:val="hybridMultilevel"/>
    <w:tmpl w:val="33B4CA74"/>
    <w:lvl w:ilvl="0" w:tplc="0C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4"/>
  </w:num>
  <w:num w:numId="2">
    <w:abstractNumId w:val="7"/>
  </w:num>
  <w:num w:numId="3">
    <w:abstractNumId w:val="11"/>
  </w:num>
  <w:num w:numId="4">
    <w:abstractNumId w:val="3"/>
  </w:num>
  <w:num w:numId="5">
    <w:abstractNumId w:val="12"/>
  </w:num>
  <w:num w:numId="6">
    <w:abstractNumId w:val="19"/>
  </w:num>
  <w:num w:numId="7">
    <w:abstractNumId w:val="31"/>
  </w:num>
  <w:num w:numId="8">
    <w:abstractNumId w:val="23"/>
  </w:num>
  <w:num w:numId="9">
    <w:abstractNumId w:val="28"/>
  </w:num>
  <w:num w:numId="10">
    <w:abstractNumId w:val="32"/>
  </w:num>
  <w:num w:numId="11">
    <w:abstractNumId w:val="20"/>
  </w:num>
  <w:num w:numId="12">
    <w:abstractNumId w:val="5"/>
  </w:num>
  <w:num w:numId="13">
    <w:abstractNumId w:val="18"/>
  </w:num>
  <w:num w:numId="14">
    <w:abstractNumId w:val="13"/>
  </w:num>
  <w:num w:numId="15">
    <w:abstractNumId w:val="14"/>
  </w:num>
  <w:num w:numId="16">
    <w:abstractNumId w:val="10"/>
  </w:num>
  <w:num w:numId="17">
    <w:abstractNumId w:val="27"/>
  </w:num>
  <w:num w:numId="18">
    <w:abstractNumId w:val="8"/>
  </w:num>
  <w:num w:numId="19">
    <w:abstractNumId w:val="0"/>
  </w:num>
  <w:num w:numId="20">
    <w:abstractNumId w:val="33"/>
  </w:num>
  <w:num w:numId="21">
    <w:abstractNumId w:val="26"/>
  </w:num>
  <w:num w:numId="22">
    <w:abstractNumId w:val="22"/>
  </w:num>
  <w:num w:numId="23">
    <w:abstractNumId w:val="35"/>
  </w:num>
  <w:num w:numId="24">
    <w:abstractNumId w:val="29"/>
  </w:num>
  <w:num w:numId="25">
    <w:abstractNumId w:val="15"/>
  </w:num>
  <w:num w:numId="26">
    <w:abstractNumId w:val="17"/>
  </w:num>
  <w:num w:numId="27">
    <w:abstractNumId w:val="21"/>
  </w:num>
  <w:num w:numId="28">
    <w:abstractNumId w:val="9"/>
  </w:num>
  <w:num w:numId="29">
    <w:abstractNumId w:val="25"/>
  </w:num>
  <w:num w:numId="30">
    <w:abstractNumId w:val="1"/>
  </w:num>
  <w:num w:numId="31">
    <w:abstractNumId w:val="16"/>
  </w:num>
  <w:num w:numId="32">
    <w:abstractNumId w:val="30"/>
  </w:num>
  <w:num w:numId="33">
    <w:abstractNumId w:val="24"/>
  </w:num>
  <w:num w:numId="34">
    <w:abstractNumId w:val="36"/>
  </w:num>
  <w:num w:numId="35">
    <w:abstractNumId w:val="6"/>
  </w:num>
  <w:num w:numId="36">
    <w:abstractNumId w:val="2"/>
  </w:num>
  <w:num w:numId="3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2BAF"/>
    <w:rsid w:val="0000382F"/>
    <w:rsid w:val="0000469B"/>
    <w:rsid w:val="00010E79"/>
    <w:rsid w:val="00014E34"/>
    <w:rsid w:val="00023027"/>
    <w:rsid w:val="0002763F"/>
    <w:rsid w:val="00035FF3"/>
    <w:rsid w:val="000418F0"/>
    <w:rsid w:val="00047CF1"/>
    <w:rsid w:val="00051021"/>
    <w:rsid w:val="000524F0"/>
    <w:rsid w:val="00052D54"/>
    <w:rsid w:val="00052F06"/>
    <w:rsid w:val="000568A6"/>
    <w:rsid w:val="000576EB"/>
    <w:rsid w:val="00057AE7"/>
    <w:rsid w:val="000605A3"/>
    <w:rsid w:val="00064B2D"/>
    <w:rsid w:val="00065F1F"/>
    <w:rsid w:val="000664C8"/>
    <w:rsid w:val="00076D33"/>
    <w:rsid w:val="00076D3B"/>
    <w:rsid w:val="00077AEA"/>
    <w:rsid w:val="00081916"/>
    <w:rsid w:val="00081B0A"/>
    <w:rsid w:val="000825A5"/>
    <w:rsid w:val="00084690"/>
    <w:rsid w:val="000962F2"/>
    <w:rsid w:val="000963FC"/>
    <w:rsid w:val="000A3D8B"/>
    <w:rsid w:val="000A49C7"/>
    <w:rsid w:val="000B1CF4"/>
    <w:rsid w:val="000B427A"/>
    <w:rsid w:val="000B6AF2"/>
    <w:rsid w:val="000C24AF"/>
    <w:rsid w:val="000C299D"/>
    <w:rsid w:val="000D0EC0"/>
    <w:rsid w:val="000D1E2E"/>
    <w:rsid w:val="000D6FD4"/>
    <w:rsid w:val="000D7B1C"/>
    <w:rsid w:val="000E0AE4"/>
    <w:rsid w:val="000E1EA4"/>
    <w:rsid w:val="000E3DBC"/>
    <w:rsid w:val="000E4105"/>
    <w:rsid w:val="000E662F"/>
    <w:rsid w:val="000F3525"/>
    <w:rsid w:val="000F3CFE"/>
    <w:rsid w:val="000F4745"/>
    <w:rsid w:val="000F6568"/>
    <w:rsid w:val="000F6C6B"/>
    <w:rsid w:val="00102819"/>
    <w:rsid w:val="0010778D"/>
    <w:rsid w:val="001122EC"/>
    <w:rsid w:val="001146C6"/>
    <w:rsid w:val="001202EF"/>
    <w:rsid w:val="0012388D"/>
    <w:rsid w:val="00131ED4"/>
    <w:rsid w:val="001360B6"/>
    <w:rsid w:val="001409F8"/>
    <w:rsid w:val="00147F11"/>
    <w:rsid w:val="00150B54"/>
    <w:rsid w:val="001563A0"/>
    <w:rsid w:val="00160749"/>
    <w:rsid w:val="00170AEA"/>
    <w:rsid w:val="00182C4C"/>
    <w:rsid w:val="001878C5"/>
    <w:rsid w:val="00191CB1"/>
    <w:rsid w:val="00192E7F"/>
    <w:rsid w:val="0019399D"/>
    <w:rsid w:val="00197D8D"/>
    <w:rsid w:val="001A1A75"/>
    <w:rsid w:val="001A64E9"/>
    <w:rsid w:val="001A7E9A"/>
    <w:rsid w:val="001B62A8"/>
    <w:rsid w:val="001C2624"/>
    <w:rsid w:val="001C27A3"/>
    <w:rsid w:val="001D561E"/>
    <w:rsid w:val="001E09FA"/>
    <w:rsid w:val="001E17D0"/>
    <w:rsid w:val="001E25BB"/>
    <w:rsid w:val="001E3158"/>
    <w:rsid w:val="001E77EE"/>
    <w:rsid w:val="001E7BAD"/>
    <w:rsid w:val="001F5A9B"/>
    <w:rsid w:val="00202A6F"/>
    <w:rsid w:val="00204C5B"/>
    <w:rsid w:val="002119B3"/>
    <w:rsid w:val="002135F0"/>
    <w:rsid w:val="00221664"/>
    <w:rsid w:val="0022197C"/>
    <w:rsid w:val="00221D07"/>
    <w:rsid w:val="00224E3B"/>
    <w:rsid w:val="00227E4A"/>
    <w:rsid w:val="002361D2"/>
    <w:rsid w:val="002421C1"/>
    <w:rsid w:val="00244C50"/>
    <w:rsid w:val="00244EBC"/>
    <w:rsid w:val="0025115D"/>
    <w:rsid w:val="00253E90"/>
    <w:rsid w:val="0025513B"/>
    <w:rsid w:val="00261ED4"/>
    <w:rsid w:val="002632ED"/>
    <w:rsid w:val="00267883"/>
    <w:rsid w:val="002758A0"/>
    <w:rsid w:val="00282DE5"/>
    <w:rsid w:val="0029204E"/>
    <w:rsid w:val="002924C4"/>
    <w:rsid w:val="002A0194"/>
    <w:rsid w:val="002A1D32"/>
    <w:rsid w:val="002A4917"/>
    <w:rsid w:val="002A5499"/>
    <w:rsid w:val="002A5F8B"/>
    <w:rsid w:val="002A7F6C"/>
    <w:rsid w:val="002B5F54"/>
    <w:rsid w:val="002D185C"/>
    <w:rsid w:val="002E1820"/>
    <w:rsid w:val="002E2FBD"/>
    <w:rsid w:val="002F35EA"/>
    <w:rsid w:val="002F3955"/>
    <w:rsid w:val="002F5589"/>
    <w:rsid w:val="002F5F63"/>
    <w:rsid w:val="002F6488"/>
    <w:rsid w:val="00305747"/>
    <w:rsid w:val="00305C54"/>
    <w:rsid w:val="00305CD4"/>
    <w:rsid w:val="0031016C"/>
    <w:rsid w:val="0031283F"/>
    <w:rsid w:val="00312D71"/>
    <w:rsid w:val="00314D2A"/>
    <w:rsid w:val="00315E49"/>
    <w:rsid w:val="003213F9"/>
    <w:rsid w:val="00321774"/>
    <w:rsid w:val="00323AB6"/>
    <w:rsid w:val="00323DBF"/>
    <w:rsid w:val="003255BF"/>
    <w:rsid w:val="00327867"/>
    <w:rsid w:val="00332B12"/>
    <w:rsid w:val="00337CBC"/>
    <w:rsid w:val="003428FC"/>
    <w:rsid w:val="00342F6C"/>
    <w:rsid w:val="00344220"/>
    <w:rsid w:val="003507DB"/>
    <w:rsid w:val="003516D2"/>
    <w:rsid w:val="00351B07"/>
    <w:rsid w:val="00364F80"/>
    <w:rsid w:val="0036533D"/>
    <w:rsid w:val="0036699E"/>
    <w:rsid w:val="00367EA8"/>
    <w:rsid w:val="00371122"/>
    <w:rsid w:val="00371B29"/>
    <w:rsid w:val="003766F8"/>
    <w:rsid w:val="00380106"/>
    <w:rsid w:val="003814F0"/>
    <w:rsid w:val="00381E07"/>
    <w:rsid w:val="003852E7"/>
    <w:rsid w:val="00385788"/>
    <w:rsid w:val="00391769"/>
    <w:rsid w:val="003953E1"/>
    <w:rsid w:val="003956B3"/>
    <w:rsid w:val="003A0A4D"/>
    <w:rsid w:val="003A3D30"/>
    <w:rsid w:val="003A68BE"/>
    <w:rsid w:val="003A7B84"/>
    <w:rsid w:val="003B1F7A"/>
    <w:rsid w:val="003C4969"/>
    <w:rsid w:val="003D1226"/>
    <w:rsid w:val="003D2CDC"/>
    <w:rsid w:val="003E0646"/>
    <w:rsid w:val="003E126A"/>
    <w:rsid w:val="003E41D5"/>
    <w:rsid w:val="003E46BA"/>
    <w:rsid w:val="003E7EA0"/>
    <w:rsid w:val="003F74C1"/>
    <w:rsid w:val="004038E1"/>
    <w:rsid w:val="00405B1A"/>
    <w:rsid w:val="00410C76"/>
    <w:rsid w:val="00411907"/>
    <w:rsid w:val="0041461C"/>
    <w:rsid w:val="00417EE3"/>
    <w:rsid w:val="004207EB"/>
    <w:rsid w:val="00421730"/>
    <w:rsid w:val="00422EC9"/>
    <w:rsid w:val="00423AC7"/>
    <w:rsid w:val="00424BF5"/>
    <w:rsid w:val="00427CF6"/>
    <w:rsid w:val="0043186E"/>
    <w:rsid w:val="00432428"/>
    <w:rsid w:val="00433DE0"/>
    <w:rsid w:val="00437276"/>
    <w:rsid w:val="00444B68"/>
    <w:rsid w:val="00447186"/>
    <w:rsid w:val="00453646"/>
    <w:rsid w:val="004551D2"/>
    <w:rsid w:val="00456B54"/>
    <w:rsid w:val="0046449B"/>
    <w:rsid w:val="00464643"/>
    <w:rsid w:val="0046787B"/>
    <w:rsid w:val="00472935"/>
    <w:rsid w:val="00476C7C"/>
    <w:rsid w:val="00486793"/>
    <w:rsid w:val="00486C66"/>
    <w:rsid w:val="00490E61"/>
    <w:rsid w:val="00494A3F"/>
    <w:rsid w:val="004A02A2"/>
    <w:rsid w:val="004A2037"/>
    <w:rsid w:val="004A793C"/>
    <w:rsid w:val="004B047B"/>
    <w:rsid w:val="004B38B2"/>
    <w:rsid w:val="004B4CDC"/>
    <w:rsid w:val="004B6526"/>
    <w:rsid w:val="004B7A92"/>
    <w:rsid w:val="004C1D6A"/>
    <w:rsid w:val="004D121E"/>
    <w:rsid w:val="004D1B1C"/>
    <w:rsid w:val="004D2318"/>
    <w:rsid w:val="004D381A"/>
    <w:rsid w:val="004E02C5"/>
    <w:rsid w:val="004E0AD1"/>
    <w:rsid w:val="004E40D4"/>
    <w:rsid w:val="004E4F85"/>
    <w:rsid w:val="004F228A"/>
    <w:rsid w:val="004F4F98"/>
    <w:rsid w:val="004F69F6"/>
    <w:rsid w:val="004F79AC"/>
    <w:rsid w:val="00500481"/>
    <w:rsid w:val="00500548"/>
    <w:rsid w:val="00506A7C"/>
    <w:rsid w:val="00506E9B"/>
    <w:rsid w:val="005131A8"/>
    <w:rsid w:val="00513AA5"/>
    <w:rsid w:val="005207D8"/>
    <w:rsid w:val="00521606"/>
    <w:rsid w:val="00523930"/>
    <w:rsid w:val="00523E8D"/>
    <w:rsid w:val="005244F1"/>
    <w:rsid w:val="00537186"/>
    <w:rsid w:val="00537CDC"/>
    <w:rsid w:val="0054435F"/>
    <w:rsid w:val="00544562"/>
    <w:rsid w:val="00546846"/>
    <w:rsid w:val="00560185"/>
    <w:rsid w:val="00562917"/>
    <w:rsid w:val="00571B8C"/>
    <w:rsid w:val="00577629"/>
    <w:rsid w:val="005811B7"/>
    <w:rsid w:val="00586228"/>
    <w:rsid w:val="005927F6"/>
    <w:rsid w:val="005946D3"/>
    <w:rsid w:val="005A1F64"/>
    <w:rsid w:val="005A2FD4"/>
    <w:rsid w:val="005A572E"/>
    <w:rsid w:val="005B6AF4"/>
    <w:rsid w:val="005B7355"/>
    <w:rsid w:val="005C04CB"/>
    <w:rsid w:val="005D0D89"/>
    <w:rsid w:val="005D16AD"/>
    <w:rsid w:val="005D2016"/>
    <w:rsid w:val="005D72E1"/>
    <w:rsid w:val="005D739D"/>
    <w:rsid w:val="005E58D3"/>
    <w:rsid w:val="005E6E16"/>
    <w:rsid w:val="005F400E"/>
    <w:rsid w:val="005F7342"/>
    <w:rsid w:val="00607275"/>
    <w:rsid w:val="00610A3C"/>
    <w:rsid w:val="006138D7"/>
    <w:rsid w:val="00615E83"/>
    <w:rsid w:val="0061651D"/>
    <w:rsid w:val="0062302B"/>
    <w:rsid w:val="006279DA"/>
    <w:rsid w:val="00627A5E"/>
    <w:rsid w:val="00627F48"/>
    <w:rsid w:val="00630E10"/>
    <w:rsid w:val="0063455F"/>
    <w:rsid w:val="00634B4A"/>
    <w:rsid w:val="006350C4"/>
    <w:rsid w:val="00635814"/>
    <w:rsid w:val="0063719D"/>
    <w:rsid w:val="00640562"/>
    <w:rsid w:val="00640E9E"/>
    <w:rsid w:val="006425C9"/>
    <w:rsid w:val="006435AC"/>
    <w:rsid w:val="00645371"/>
    <w:rsid w:val="00663FCF"/>
    <w:rsid w:val="006652A2"/>
    <w:rsid w:val="006658A2"/>
    <w:rsid w:val="00666470"/>
    <w:rsid w:val="00671C30"/>
    <w:rsid w:val="00681981"/>
    <w:rsid w:val="00692490"/>
    <w:rsid w:val="006969CC"/>
    <w:rsid w:val="00696A15"/>
    <w:rsid w:val="006A3891"/>
    <w:rsid w:val="006A48A7"/>
    <w:rsid w:val="006C22A7"/>
    <w:rsid w:val="006C5CF5"/>
    <w:rsid w:val="006D08B8"/>
    <w:rsid w:val="006D3169"/>
    <w:rsid w:val="006D33FF"/>
    <w:rsid w:val="006E189E"/>
    <w:rsid w:val="006F113A"/>
    <w:rsid w:val="006F4A82"/>
    <w:rsid w:val="00710C37"/>
    <w:rsid w:val="0071536E"/>
    <w:rsid w:val="00724FA4"/>
    <w:rsid w:val="00730800"/>
    <w:rsid w:val="0074760C"/>
    <w:rsid w:val="007523AC"/>
    <w:rsid w:val="00755F02"/>
    <w:rsid w:val="007602AA"/>
    <w:rsid w:val="0076041E"/>
    <w:rsid w:val="007652EF"/>
    <w:rsid w:val="00765DE1"/>
    <w:rsid w:val="00772B7D"/>
    <w:rsid w:val="00772BDC"/>
    <w:rsid w:val="00777437"/>
    <w:rsid w:val="007801E7"/>
    <w:rsid w:val="00780792"/>
    <w:rsid w:val="0078309E"/>
    <w:rsid w:val="007836BA"/>
    <w:rsid w:val="00792463"/>
    <w:rsid w:val="00795D86"/>
    <w:rsid w:val="007A44B4"/>
    <w:rsid w:val="007A4F56"/>
    <w:rsid w:val="007A7D3D"/>
    <w:rsid w:val="007A7F3D"/>
    <w:rsid w:val="007B225D"/>
    <w:rsid w:val="007B30E2"/>
    <w:rsid w:val="007C1C64"/>
    <w:rsid w:val="007C22CB"/>
    <w:rsid w:val="007C22EE"/>
    <w:rsid w:val="007C3179"/>
    <w:rsid w:val="007C4C68"/>
    <w:rsid w:val="007D0189"/>
    <w:rsid w:val="007D7E06"/>
    <w:rsid w:val="007E48BC"/>
    <w:rsid w:val="007E79F7"/>
    <w:rsid w:val="007F0158"/>
    <w:rsid w:val="007F3630"/>
    <w:rsid w:val="007F40FD"/>
    <w:rsid w:val="007F42EB"/>
    <w:rsid w:val="007F7BF7"/>
    <w:rsid w:val="00807559"/>
    <w:rsid w:val="00810A8A"/>
    <w:rsid w:val="008116FF"/>
    <w:rsid w:val="00812617"/>
    <w:rsid w:val="00813464"/>
    <w:rsid w:val="00814182"/>
    <w:rsid w:val="00814ED9"/>
    <w:rsid w:val="008258F8"/>
    <w:rsid w:val="00825EA0"/>
    <w:rsid w:val="00827169"/>
    <w:rsid w:val="00831154"/>
    <w:rsid w:val="00833F9A"/>
    <w:rsid w:val="00841E8F"/>
    <w:rsid w:val="00841FFB"/>
    <w:rsid w:val="008429DD"/>
    <w:rsid w:val="008450BC"/>
    <w:rsid w:val="00847066"/>
    <w:rsid w:val="00850B09"/>
    <w:rsid w:val="0085334B"/>
    <w:rsid w:val="008537BA"/>
    <w:rsid w:val="00860808"/>
    <w:rsid w:val="00860E84"/>
    <w:rsid w:val="00861C13"/>
    <w:rsid w:val="00864D3E"/>
    <w:rsid w:val="0086685D"/>
    <w:rsid w:val="00870214"/>
    <w:rsid w:val="00871116"/>
    <w:rsid w:val="0087116D"/>
    <w:rsid w:val="0087505A"/>
    <w:rsid w:val="00875072"/>
    <w:rsid w:val="00881FED"/>
    <w:rsid w:val="00884A46"/>
    <w:rsid w:val="00885C51"/>
    <w:rsid w:val="00896B85"/>
    <w:rsid w:val="008A243D"/>
    <w:rsid w:val="008C0DD5"/>
    <w:rsid w:val="008D06C6"/>
    <w:rsid w:val="008D079F"/>
    <w:rsid w:val="008D756E"/>
    <w:rsid w:val="008E0B03"/>
    <w:rsid w:val="008E6250"/>
    <w:rsid w:val="008E7D05"/>
    <w:rsid w:val="008F01D2"/>
    <w:rsid w:val="008F052D"/>
    <w:rsid w:val="008F3754"/>
    <w:rsid w:val="00901683"/>
    <w:rsid w:val="00901734"/>
    <w:rsid w:val="00903A73"/>
    <w:rsid w:val="009123C3"/>
    <w:rsid w:val="00914966"/>
    <w:rsid w:val="009154C1"/>
    <w:rsid w:val="00915BFD"/>
    <w:rsid w:val="00920249"/>
    <w:rsid w:val="009236A9"/>
    <w:rsid w:val="00932F14"/>
    <w:rsid w:val="0093472D"/>
    <w:rsid w:val="009366C9"/>
    <w:rsid w:val="0094091B"/>
    <w:rsid w:val="0094247F"/>
    <w:rsid w:val="00942D60"/>
    <w:rsid w:val="0094395F"/>
    <w:rsid w:val="009460FA"/>
    <w:rsid w:val="00947534"/>
    <w:rsid w:val="009478A1"/>
    <w:rsid w:val="00951879"/>
    <w:rsid w:val="009527D8"/>
    <w:rsid w:val="00955C54"/>
    <w:rsid w:val="00956361"/>
    <w:rsid w:val="0096523B"/>
    <w:rsid w:val="00972D06"/>
    <w:rsid w:val="00991A29"/>
    <w:rsid w:val="0099323D"/>
    <w:rsid w:val="009A1D4B"/>
    <w:rsid w:val="009A2699"/>
    <w:rsid w:val="009A391C"/>
    <w:rsid w:val="009A4612"/>
    <w:rsid w:val="009A50F8"/>
    <w:rsid w:val="009A5258"/>
    <w:rsid w:val="009B1A8C"/>
    <w:rsid w:val="009C2421"/>
    <w:rsid w:val="009C672D"/>
    <w:rsid w:val="009E0A61"/>
    <w:rsid w:val="009E3010"/>
    <w:rsid w:val="009E46F5"/>
    <w:rsid w:val="009F7065"/>
    <w:rsid w:val="00A04B16"/>
    <w:rsid w:val="00A14447"/>
    <w:rsid w:val="00A16908"/>
    <w:rsid w:val="00A219BA"/>
    <w:rsid w:val="00A2449C"/>
    <w:rsid w:val="00A318EB"/>
    <w:rsid w:val="00A370BA"/>
    <w:rsid w:val="00A3795D"/>
    <w:rsid w:val="00A44C0D"/>
    <w:rsid w:val="00A5032E"/>
    <w:rsid w:val="00A551B9"/>
    <w:rsid w:val="00A56100"/>
    <w:rsid w:val="00A56DC7"/>
    <w:rsid w:val="00A57B09"/>
    <w:rsid w:val="00A66347"/>
    <w:rsid w:val="00A66FDD"/>
    <w:rsid w:val="00A671E6"/>
    <w:rsid w:val="00A709E5"/>
    <w:rsid w:val="00A74FD1"/>
    <w:rsid w:val="00A7662A"/>
    <w:rsid w:val="00A83D3B"/>
    <w:rsid w:val="00A84A58"/>
    <w:rsid w:val="00A86BBB"/>
    <w:rsid w:val="00A86E29"/>
    <w:rsid w:val="00A929A9"/>
    <w:rsid w:val="00A96594"/>
    <w:rsid w:val="00AA0094"/>
    <w:rsid w:val="00AA41BA"/>
    <w:rsid w:val="00AA6D0D"/>
    <w:rsid w:val="00AA6FA3"/>
    <w:rsid w:val="00AA7BE5"/>
    <w:rsid w:val="00AB10AB"/>
    <w:rsid w:val="00AB2A32"/>
    <w:rsid w:val="00AB34DC"/>
    <w:rsid w:val="00AC428E"/>
    <w:rsid w:val="00AC6E00"/>
    <w:rsid w:val="00AC714D"/>
    <w:rsid w:val="00AD05C9"/>
    <w:rsid w:val="00AD344F"/>
    <w:rsid w:val="00AD4EA0"/>
    <w:rsid w:val="00AD5ADC"/>
    <w:rsid w:val="00AE32A7"/>
    <w:rsid w:val="00AE334B"/>
    <w:rsid w:val="00AE4FFD"/>
    <w:rsid w:val="00AE6833"/>
    <w:rsid w:val="00AE717B"/>
    <w:rsid w:val="00AF24FA"/>
    <w:rsid w:val="00AF387F"/>
    <w:rsid w:val="00AF397D"/>
    <w:rsid w:val="00B00310"/>
    <w:rsid w:val="00B00E7F"/>
    <w:rsid w:val="00B01973"/>
    <w:rsid w:val="00B02184"/>
    <w:rsid w:val="00B12CE7"/>
    <w:rsid w:val="00B13342"/>
    <w:rsid w:val="00B16F8D"/>
    <w:rsid w:val="00B17112"/>
    <w:rsid w:val="00B21055"/>
    <w:rsid w:val="00B21DCC"/>
    <w:rsid w:val="00B25F37"/>
    <w:rsid w:val="00B26BAE"/>
    <w:rsid w:val="00B4074D"/>
    <w:rsid w:val="00B425AA"/>
    <w:rsid w:val="00B441EF"/>
    <w:rsid w:val="00B44422"/>
    <w:rsid w:val="00B46DC2"/>
    <w:rsid w:val="00B46EA0"/>
    <w:rsid w:val="00B55714"/>
    <w:rsid w:val="00B60669"/>
    <w:rsid w:val="00B731D3"/>
    <w:rsid w:val="00B74660"/>
    <w:rsid w:val="00B75ACC"/>
    <w:rsid w:val="00B75B57"/>
    <w:rsid w:val="00B76B00"/>
    <w:rsid w:val="00B80110"/>
    <w:rsid w:val="00B811B3"/>
    <w:rsid w:val="00B839A3"/>
    <w:rsid w:val="00B902BD"/>
    <w:rsid w:val="00B9233A"/>
    <w:rsid w:val="00B94E91"/>
    <w:rsid w:val="00B95813"/>
    <w:rsid w:val="00B96366"/>
    <w:rsid w:val="00BA00C0"/>
    <w:rsid w:val="00BA0E45"/>
    <w:rsid w:val="00BA1009"/>
    <w:rsid w:val="00BB5C34"/>
    <w:rsid w:val="00BB5D26"/>
    <w:rsid w:val="00BB6DAE"/>
    <w:rsid w:val="00BB7F87"/>
    <w:rsid w:val="00BC01A5"/>
    <w:rsid w:val="00BD04B0"/>
    <w:rsid w:val="00BD1B68"/>
    <w:rsid w:val="00BD2A39"/>
    <w:rsid w:val="00BD2E80"/>
    <w:rsid w:val="00BD34DE"/>
    <w:rsid w:val="00BD49FF"/>
    <w:rsid w:val="00BD4B64"/>
    <w:rsid w:val="00BD58C1"/>
    <w:rsid w:val="00BD77E1"/>
    <w:rsid w:val="00BE11B8"/>
    <w:rsid w:val="00BF7FF0"/>
    <w:rsid w:val="00C10A33"/>
    <w:rsid w:val="00C11AEA"/>
    <w:rsid w:val="00C12502"/>
    <w:rsid w:val="00C21116"/>
    <w:rsid w:val="00C2192D"/>
    <w:rsid w:val="00C26B3B"/>
    <w:rsid w:val="00C27DA8"/>
    <w:rsid w:val="00C30339"/>
    <w:rsid w:val="00C34B59"/>
    <w:rsid w:val="00C34EFE"/>
    <w:rsid w:val="00C40AA5"/>
    <w:rsid w:val="00C45541"/>
    <w:rsid w:val="00C46F70"/>
    <w:rsid w:val="00C476D0"/>
    <w:rsid w:val="00C5042C"/>
    <w:rsid w:val="00C62AA9"/>
    <w:rsid w:val="00C6434A"/>
    <w:rsid w:val="00C70BE5"/>
    <w:rsid w:val="00C74398"/>
    <w:rsid w:val="00C81D43"/>
    <w:rsid w:val="00C82B40"/>
    <w:rsid w:val="00C830B9"/>
    <w:rsid w:val="00C836E3"/>
    <w:rsid w:val="00C836FF"/>
    <w:rsid w:val="00C854DC"/>
    <w:rsid w:val="00C85D0D"/>
    <w:rsid w:val="00C86577"/>
    <w:rsid w:val="00C87D9B"/>
    <w:rsid w:val="00C91C02"/>
    <w:rsid w:val="00C92E07"/>
    <w:rsid w:val="00C94FF7"/>
    <w:rsid w:val="00C96868"/>
    <w:rsid w:val="00CA0416"/>
    <w:rsid w:val="00CA1557"/>
    <w:rsid w:val="00CA231B"/>
    <w:rsid w:val="00CA3032"/>
    <w:rsid w:val="00CA5734"/>
    <w:rsid w:val="00CB115C"/>
    <w:rsid w:val="00CC3764"/>
    <w:rsid w:val="00CC3A35"/>
    <w:rsid w:val="00CC4309"/>
    <w:rsid w:val="00CC5468"/>
    <w:rsid w:val="00CC560B"/>
    <w:rsid w:val="00CC75E2"/>
    <w:rsid w:val="00CD46EB"/>
    <w:rsid w:val="00CD7EBF"/>
    <w:rsid w:val="00CE3604"/>
    <w:rsid w:val="00CE4CC6"/>
    <w:rsid w:val="00CF3D12"/>
    <w:rsid w:val="00CF6BE6"/>
    <w:rsid w:val="00D00DFA"/>
    <w:rsid w:val="00D056F1"/>
    <w:rsid w:val="00D06616"/>
    <w:rsid w:val="00D11362"/>
    <w:rsid w:val="00D124A3"/>
    <w:rsid w:val="00D144D7"/>
    <w:rsid w:val="00D15A08"/>
    <w:rsid w:val="00D23DB6"/>
    <w:rsid w:val="00D31879"/>
    <w:rsid w:val="00D32178"/>
    <w:rsid w:val="00D33323"/>
    <w:rsid w:val="00D40A5F"/>
    <w:rsid w:val="00D51707"/>
    <w:rsid w:val="00D51A95"/>
    <w:rsid w:val="00D60568"/>
    <w:rsid w:val="00D6500D"/>
    <w:rsid w:val="00D70C7A"/>
    <w:rsid w:val="00D72A29"/>
    <w:rsid w:val="00D74448"/>
    <w:rsid w:val="00D74A8F"/>
    <w:rsid w:val="00D81644"/>
    <w:rsid w:val="00D82648"/>
    <w:rsid w:val="00D834E5"/>
    <w:rsid w:val="00D841E6"/>
    <w:rsid w:val="00D93C0F"/>
    <w:rsid w:val="00DA10A8"/>
    <w:rsid w:val="00DA1A2D"/>
    <w:rsid w:val="00DA7E57"/>
    <w:rsid w:val="00DB123A"/>
    <w:rsid w:val="00DB1E08"/>
    <w:rsid w:val="00DB2973"/>
    <w:rsid w:val="00DB3E63"/>
    <w:rsid w:val="00DC0FBA"/>
    <w:rsid w:val="00DC1B56"/>
    <w:rsid w:val="00DC20CC"/>
    <w:rsid w:val="00DC2129"/>
    <w:rsid w:val="00DC503A"/>
    <w:rsid w:val="00DC6570"/>
    <w:rsid w:val="00DD265C"/>
    <w:rsid w:val="00DD3703"/>
    <w:rsid w:val="00DE5528"/>
    <w:rsid w:val="00DF1DA6"/>
    <w:rsid w:val="00DF25C3"/>
    <w:rsid w:val="00DF2C49"/>
    <w:rsid w:val="00DF38B0"/>
    <w:rsid w:val="00DF3C35"/>
    <w:rsid w:val="00E022B2"/>
    <w:rsid w:val="00E04062"/>
    <w:rsid w:val="00E063C6"/>
    <w:rsid w:val="00E11ED1"/>
    <w:rsid w:val="00E16318"/>
    <w:rsid w:val="00E20028"/>
    <w:rsid w:val="00E2003B"/>
    <w:rsid w:val="00E20991"/>
    <w:rsid w:val="00E24728"/>
    <w:rsid w:val="00E2531C"/>
    <w:rsid w:val="00E260E2"/>
    <w:rsid w:val="00E26887"/>
    <w:rsid w:val="00E279D8"/>
    <w:rsid w:val="00E30092"/>
    <w:rsid w:val="00E319B1"/>
    <w:rsid w:val="00E327A6"/>
    <w:rsid w:val="00E47ED0"/>
    <w:rsid w:val="00E5492F"/>
    <w:rsid w:val="00E572B1"/>
    <w:rsid w:val="00E63F1A"/>
    <w:rsid w:val="00E70A86"/>
    <w:rsid w:val="00E73E50"/>
    <w:rsid w:val="00E777EC"/>
    <w:rsid w:val="00E80FCD"/>
    <w:rsid w:val="00E856A5"/>
    <w:rsid w:val="00E90DB6"/>
    <w:rsid w:val="00EA60E0"/>
    <w:rsid w:val="00EA7F2F"/>
    <w:rsid w:val="00EB0F35"/>
    <w:rsid w:val="00EB1DF6"/>
    <w:rsid w:val="00EB6590"/>
    <w:rsid w:val="00EC00DE"/>
    <w:rsid w:val="00EC21A3"/>
    <w:rsid w:val="00EC21DF"/>
    <w:rsid w:val="00EC30E1"/>
    <w:rsid w:val="00EC3436"/>
    <w:rsid w:val="00EC66BB"/>
    <w:rsid w:val="00ED172A"/>
    <w:rsid w:val="00ED6A25"/>
    <w:rsid w:val="00EE01DC"/>
    <w:rsid w:val="00EE4DD5"/>
    <w:rsid w:val="00EE5B2D"/>
    <w:rsid w:val="00EE78BF"/>
    <w:rsid w:val="00EF032D"/>
    <w:rsid w:val="00EF242E"/>
    <w:rsid w:val="00F12A33"/>
    <w:rsid w:val="00F14AB3"/>
    <w:rsid w:val="00F14BEC"/>
    <w:rsid w:val="00F224B7"/>
    <w:rsid w:val="00F225C5"/>
    <w:rsid w:val="00F2331E"/>
    <w:rsid w:val="00F24E35"/>
    <w:rsid w:val="00F2587A"/>
    <w:rsid w:val="00F27073"/>
    <w:rsid w:val="00F331F9"/>
    <w:rsid w:val="00F33470"/>
    <w:rsid w:val="00F34E02"/>
    <w:rsid w:val="00F3715D"/>
    <w:rsid w:val="00F37A10"/>
    <w:rsid w:val="00F420C8"/>
    <w:rsid w:val="00F42A4C"/>
    <w:rsid w:val="00F4564D"/>
    <w:rsid w:val="00F509A7"/>
    <w:rsid w:val="00F526BD"/>
    <w:rsid w:val="00F60631"/>
    <w:rsid w:val="00F634A1"/>
    <w:rsid w:val="00F67D74"/>
    <w:rsid w:val="00F85910"/>
    <w:rsid w:val="00F90A56"/>
    <w:rsid w:val="00FA306F"/>
    <w:rsid w:val="00FA5E89"/>
    <w:rsid w:val="00FB7512"/>
    <w:rsid w:val="00FD4A1A"/>
    <w:rsid w:val="00FD61CD"/>
    <w:rsid w:val="00FD7547"/>
    <w:rsid w:val="00FE287B"/>
    <w:rsid w:val="00FE630C"/>
    <w:rsid w:val="00FE6B50"/>
    <w:rsid w:val="00FF5F5C"/>
    <w:rsid w:val="00FF6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5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2"/>
      </w:numPr>
      <w:ind w:left="1134" w:hanging="567"/>
    </w:pPr>
  </w:style>
  <w:style w:type="paragraph" w:styleId="TOC1">
    <w:name w:val="toc 1"/>
    <w:basedOn w:val="Normal"/>
    <w:next w:val="Normal"/>
    <w:autoRedefine/>
    <w:uiPriority w:val="39"/>
    <w:rsid w:val="001E3158"/>
    <w:pPr>
      <w:spacing w:before="120" w:after="120"/>
    </w:pPr>
    <w:rPr>
      <w:rFonts w:cstheme="minorHAnsi"/>
      <w:b/>
      <w:bCs/>
      <w:caps/>
      <w:szCs w:val="20"/>
    </w:rPr>
  </w:style>
  <w:style w:type="paragraph" w:styleId="TOC2">
    <w:name w:val="toc 2"/>
    <w:basedOn w:val="Normal"/>
    <w:next w:val="Normal"/>
    <w:autoRedefine/>
    <w:uiPriority w:val="39"/>
    <w:rsid w:val="001E3158"/>
    <w:pPr>
      <w:ind w:left="220"/>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5"/>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CA1557"/>
    <w:rPr>
      <w:rFonts w:ascii="Arial" w:hAnsi="Arial"/>
      <w:lang w:eastAsia="en-US" w:bidi="en-US"/>
    </w:rPr>
  </w:style>
  <w:style w:type="paragraph" w:customStyle="1" w:styleId="ms-rteelement-h1b">
    <w:name w:val="ms-rteelement-h1b"/>
    <w:basedOn w:val="Normal"/>
    <w:rsid w:val="00681981"/>
    <w:pPr>
      <w:widowControl/>
      <w:spacing w:before="100" w:beforeAutospacing="1" w:after="100" w:afterAutospacing="1"/>
    </w:pPr>
    <w:rPr>
      <w:rFonts w:ascii="Times New Roman" w:hAnsi="Times New Roman"/>
      <w:color w:val="0072BC"/>
      <w:sz w:val="48"/>
      <w:szCs w:val="48"/>
      <w:lang w:val="en-AU" w:eastAsia="en-AU" w:bidi="ar-SA"/>
    </w:rPr>
  </w:style>
  <w:style w:type="paragraph" w:styleId="NormalWeb">
    <w:name w:val="Normal (Web)"/>
    <w:basedOn w:val="Normal"/>
    <w:uiPriority w:val="99"/>
    <w:unhideWhenUsed/>
    <w:rsid w:val="00221664"/>
    <w:pPr>
      <w:widowControl/>
      <w:spacing w:before="100" w:beforeAutospacing="1" w:after="100" w:afterAutospacing="1"/>
    </w:pPr>
    <w:rPr>
      <w:rFonts w:ascii="Times New Roman" w:hAnsi="Times New Roman"/>
      <w:sz w:val="24"/>
      <w:lang w:val="en-NZ" w:eastAsia="en-NZ" w:bidi="ar-SA"/>
    </w:rPr>
  </w:style>
  <w:style w:type="paragraph" w:customStyle="1" w:styleId="ISCbulleted">
    <w:name w:val="ISC bulleted"/>
    <w:basedOn w:val="Normal"/>
    <w:uiPriority w:val="99"/>
    <w:rsid w:val="004551D2"/>
    <w:pPr>
      <w:widowControl/>
      <w:numPr>
        <w:numId w:val="26"/>
      </w:numPr>
      <w:tabs>
        <w:tab w:val="left" w:pos="567"/>
      </w:tabs>
      <w:spacing w:after="120"/>
    </w:pPr>
    <w:rPr>
      <w:rFonts w:ascii="Times New Roman" w:hAnsi="Times New Roman"/>
      <w:sz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2"/>
      </w:numPr>
      <w:ind w:left="1134" w:hanging="567"/>
    </w:pPr>
  </w:style>
  <w:style w:type="paragraph" w:styleId="TOC1">
    <w:name w:val="toc 1"/>
    <w:basedOn w:val="Normal"/>
    <w:next w:val="Normal"/>
    <w:autoRedefine/>
    <w:uiPriority w:val="39"/>
    <w:rsid w:val="001E3158"/>
    <w:pPr>
      <w:spacing w:before="120" w:after="120"/>
    </w:pPr>
    <w:rPr>
      <w:rFonts w:cstheme="minorHAnsi"/>
      <w:b/>
      <w:bCs/>
      <w:caps/>
      <w:szCs w:val="20"/>
    </w:rPr>
  </w:style>
  <w:style w:type="paragraph" w:styleId="TOC2">
    <w:name w:val="toc 2"/>
    <w:basedOn w:val="Normal"/>
    <w:next w:val="Normal"/>
    <w:autoRedefine/>
    <w:uiPriority w:val="39"/>
    <w:rsid w:val="001E3158"/>
    <w:pPr>
      <w:ind w:left="220"/>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5"/>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CA1557"/>
    <w:rPr>
      <w:rFonts w:ascii="Arial" w:hAnsi="Arial"/>
      <w:lang w:eastAsia="en-US" w:bidi="en-US"/>
    </w:rPr>
  </w:style>
  <w:style w:type="paragraph" w:customStyle="1" w:styleId="ms-rteelement-h1b">
    <w:name w:val="ms-rteelement-h1b"/>
    <w:basedOn w:val="Normal"/>
    <w:rsid w:val="00681981"/>
    <w:pPr>
      <w:widowControl/>
      <w:spacing w:before="100" w:beforeAutospacing="1" w:after="100" w:afterAutospacing="1"/>
    </w:pPr>
    <w:rPr>
      <w:rFonts w:ascii="Times New Roman" w:hAnsi="Times New Roman"/>
      <w:color w:val="0072BC"/>
      <w:sz w:val="48"/>
      <w:szCs w:val="48"/>
      <w:lang w:val="en-AU" w:eastAsia="en-AU" w:bidi="ar-SA"/>
    </w:rPr>
  </w:style>
  <w:style w:type="paragraph" w:styleId="NormalWeb">
    <w:name w:val="Normal (Web)"/>
    <w:basedOn w:val="Normal"/>
    <w:uiPriority w:val="99"/>
    <w:unhideWhenUsed/>
    <w:rsid w:val="00221664"/>
    <w:pPr>
      <w:widowControl/>
      <w:spacing w:before="100" w:beforeAutospacing="1" w:after="100" w:afterAutospacing="1"/>
    </w:pPr>
    <w:rPr>
      <w:rFonts w:ascii="Times New Roman" w:hAnsi="Times New Roman"/>
      <w:sz w:val="24"/>
      <w:lang w:val="en-NZ" w:eastAsia="en-NZ" w:bidi="ar-SA"/>
    </w:rPr>
  </w:style>
  <w:style w:type="paragraph" w:customStyle="1" w:styleId="ISCbulleted">
    <w:name w:val="ISC bulleted"/>
    <w:basedOn w:val="Normal"/>
    <w:uiPriority w:val="99"/>
    <w:rsid w:val="004551D2"/>
    <w:pPr>
      <w:widowControl/>
      <w:numPr>
        <w:numId w:val="26"/>
      </w:numPr>
      <w:tabs>
        <w:tab w:val="left" w:pos="567"/>
      </w:tabs>
      <w:spacing w:after="120"/>
    </w:pPr>
    <w:rPr>
      <w:rFonts w:ascii="Times New Roman" w:hAnsi="Times New Roman"/>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961">
      <w:bodyDiv w:val="1"/>
      <w:marLeft w:val="0"/>
      <w:marRight w:val="0"/>
      <w:marTop w:val="0"/>
      <w:marBottom w:val="0"/>
      <w:divBdr>
        <w:top w:val="none" w:sz="0" w:space="0" w:color="auto"/>
        <w:left w:val="none" w:sz="0" w:space="0" w:color="auto"/>
        <w:bottom w:val="none" w:sz="0" w:space="0" w:color="auto"/>
        <w:right w:val="none" w:sz="0" w:space="0" w:color="auto"/>
      </w:divBdr>
    </w:div>
    <w:div w:id="107551552">
      <w:bodyDiv w:val="1"/>
      <w:marLeft w:val="0"/>
      <w:marRight w:val="0"/>
      <w:marTop w:val="0"/>
      <w:marBottom w:val="0"/>
      <w:divBdr>
        <w:top w:val="none" w:sz="0" w:space="0" w:color="auto"/>
        <w:left w:val="none" w:sz="0" w:space="0" w:color="auto"/>
        <w:bottom w:val="none" w:sz="0" w:space="0" w:color="auto"/>
        <w:right w:val="none" w:sz="0" w:space="0" w:color="auto"/>
      </w:divBdr>
    </w:div>
    <w:div w:id="130900922">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45545874">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51379308">
      <w:bodyDiv w:val="1"/>
      <w:marLeft w:val="0"/>
      <w:marRight w:val="0"/>
      <w:marTop w:val="0"/>
      <w:marBottom w:val="0"/>
      <w:divBdr>
        <w:top w:val="none" w:sz="0" w:space="0" w:color="auto"/>
        <w:left w:val="none" w:sz="0" w:space="0" w:color="auto"/>
        <w:bottom w:val="none" w:sz="0" w:space="0" w:color="auto"/>
        <w:right w:val="none" w:sz="0" w:space="0" w:color="auto"/>
      </w:divBdr>
    </w:div>
    <w:div w:id="974018544">
      <w:bodyDiv w:val="1"/>
      <w:marLeft w:val="0"/>
      <w:marRight w:val="0"/>
      <w:marTop w:val="0"/>
      <w:marBottom w:val="0"/>
      <w:divBdr>
        <w:top w:val="none" w:sz="0" w:space="0" w:color="auto"/>
        <w:left w:val="none" w:sz="0" w:space="0" w:color="auto"/>
        <w:bottom w:val="none" w:sz="0" w:space="0" w:color="auto"/>
        <w:right w:val="none" w:sz="0" w:space="0" w:color="auto"/>
      </w:divBdr>
    </w:div>
    <w:div w:id="1700860857">
      <w:bodyDiv w:val="1"/>
      <w:marLeft w:val="0"/>
      <w:marRight w:val="0"/>
      <w:marTop w:val="0"/>
      <w:marBottom w:val="0"/>
      <w:divBdr>
        <w:top w:val="none" w:sz="0" w:space="0" w:color="auto"/>
        <w:left w:val="none" w:sz="0" w:space="0" w:color="auto"/>
        <w:bottom w:val="none" w:sz="0" w:space="0" w:color="auto"/>
        <w:right w:val="none" w:sz="0" w:space="0" w:color="auto"/>
      </w:divBdr>
    </w:div>
    <w:div w:id="173002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www.inspection.gc.ca/food/labelling/food-labelling-for-industry/eng/1383607266489/1383607344939" TargetMode="External"/><Relationship Id="rId21" Type="http://schemas.openxmlformats.org/officeDocument/2006/relationships/chart" Target="charts/chart1.xml"/><Relationship Id="rId34" Type="http://schemas.openxmlformats.org/officeDocument/2006/relationships/hyperlink" Target="http://www.foodstandards.gov.au/publications/pages/evaluationreportseries/foodlabellingissuesquantitative/foodlabellingissuess1583.aspx"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laws-lois.justice.gc.ca/eng/regulations/C.R.C.%2C_c._870/" TargetMode="External"/><Relationship Id="rId33" Type="http://schemas.openxmlformats.org/officeDocument/2006/relationships/hyperlink" Target="http://www.foodstandards.gov.au/publications/pages/evaluationreportseries/foodlabellingissuesconsumer/Default.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eur-lex.europa.eu/LexUriServ/LexUriServ.do?uri=OJ:L:2011:304:0018:0063:EN: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foodstandards.gov.au/code/Pages/default.aspx" TargetMode="External"/><Relationship Id="rId32" Type="http://schemas.openxmlformats.org/officeDocument/2006/relationships/hyperlink" Target="http://www.codexalimentarius.org/standards/list-of-standards/" TargetMode="External"/><Relationship Id="rId37" Type="http://schemas.openxmlformats.org/officeDocument/2006/relationships/fontTable" Target="fontTable.xml"/><Relationship Id="rId36" Type="http://schemas.openxmlformats.org/officeDocument/2006/relationships/hyperlink" Target="http://www.foodstandards.gov.au/publications/pages/consumerattitiudes/Default.aspx" TargetMode="Externa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hyperlink" Target="http://www.fda.gov/Food/GuidanceRegulation/GuidanceDocumentsRegulatoryInformation/LabelingNutrition/ucm2006828.htm" TargetMode="Externa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hyperlink" Target="http://www.fooddrinkeurope.eu/uploads/press-releases_documents/FDE_Guidance_WEB1.pdf" TargetMode="External"/><Relationship Id="rId35" Type="http://schemas.openxmlformats.org/officeDocument/2006/relationships/hyperlink" Target="http://www.foodstandards.gov.au/publications/pages/evaluationreportseries/foodlabellingissuesquantitative/Default.aspx" TargetMode="Externa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foodlabellingreview.gov.au/internet/foodlabelling/publishing.nsf/Content/labelling-logic.%20Accessed%2029%20September%202014" TargetMode="External"/><Relationship Id="rId27" Type="http://schemas.openxmlformats.org/officeDocument/2006/relationships/hyperlink" Target="http://www.ecfr.gov/cgi-bin/text-idx?SID=50c7e808f8d7d041fe07e13453d53306&amp;c=ecfr&amp;tpl=/ecfrbrowse/Title21/21cfrv2_02.tpl" TargetMode="External"/><Relationship Id="rId30" Type="http://schemas.openxmlformats.org/officeDocument/2006/relationships/hyperlink" Target="https://www.gov.uk/government/publications/technical-guidance-on-nutrition-labelling"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www.hc-sc.gc.ca/fn-an/label-etiquet/consultation/index-eng.php" TargetMode="External"/><Relationship Id="rId3" Type="http://schemas.openxmlformats.org/officeDocument/2006/relationships/hyperlink" Target="http://healthy-kids.com.au/" TargetMode="External"/><Relationship Id="rId7" Type="http://schemas.openxmlformats.org/officeDocument/2006/relationships/hyperlink" Target="http://www.foodstandards.gov.au/code/userguide/pages/nutritioninformation1406.aspx" TargetMode="External"/><Relationship Id="rId2" Type="http://schemas.openxmlformats.org/officeDocument/2006/relationships/hyperlink" Target="http://www.foodstandards.gov.au/consumer/labelling/review/Pages/labelling-review-recommendation-17.aspx" TargetMode="External"/><Relationship Id="rId1" Type="http://schemas.openxmlformats.org/officeDocument/2006/relationships/hyperlink" Target="http://www.foodlabellingreview.gov.au/internet/foodlabelling/publishing.nsf/content/home" TargetMode="External"/><Relationship Id="rId6" Type="http://schemas.openxmlformats.org/officeDocument/2006/relationships/hyperlink" Target="http://www.foodhealthdialogue.gov.au/internet/foodandhealth/publishing.nsf" TargetMode="External"/><Relationship Id="rId5" Type="http://schemas.openxmlformats.org/officeDocument/2006/relationships/hyperlink" Target="http://www.heartfoundation.org.au/healthy-eating/heart-foundation-tick/pages/default.aspx" TargetMode="External"/><Relationship Id="rId10" Type="http://schemas.openxmlformats.org/officeDocument/2006/relationships/hyperlink" Target="http://www.fda.gov/Food/GuidanceRegulation/GuidanceDocumentsRegulatoryInformation/LabelingNutrition/ucm385663.htm" TargetMode="External"/><Relationship Id="rId4" Type="http://schemas.openxmlformats.org/officeDocument/2006/relationships/hyperlink" Target="http://www.heartfoundation.org.nz/healthy-living/healthy-eating/heart-foundation-tick" TargetMode="External"/><Relationship Id="rId9" Type="http://schemas.openxmlformats.org/officeDocument/2006/relationships/hyperlink" Target="http://www.hc-sc.gc.ca/fn-an/consult/2014-serving-size-portion-indiquee-fs-fr-eng.ph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fsintranet/IWG/W1092/Documents/Evaluation%20Report/MR17%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79396325459316"/>
          <c:y val="5.0925925925925923E-2"/>
          <c:w val="0.53409492563429573"/>
          <c:h val="0.62604111986001743"/>
        </c:manualLayout>
      </c:layout>
      <c:barChart>
        <c:barDir val="col"/>
        <c:grouping val="clustered"/>
        <c:varyColors val="0"/>
        <c:ser>
          <c:idx val="0"/>
          <c:order val="0"/>
          <c:tx>
            <c:strRef>
              <c:f>Sheet1!$B$1</c:f>
              <c:strCache>
                <c:ptCount val="1"/>
                <c:pt idx="0">
                  <c:v>Supports Recommendation 17</c:v>
                </c:pt>
              </c:strCache>
            </c:strRef>
          </c:tx>
          <c:spPr>
            <a:solidFill>
              <a:schemeClr val="tx1"/>
            </a:solidFill>
          </c:spPr>
          <c:invertIfNegative val="0"/>
          <c:cat>
            <c:strRef>
              <c:f>Sheet1!$A$2:$A$6</c:f>
              <c:strCache>
                <c:ptCount val="5"/>
                <c:pt idx="0">
                  <c:v>Public Health</c:v>
                </c:pt>
                <c:pt idx="1">
                  <c:v>Food industry</c:v>
                </c:pt>
                <c:pt idx="2">
                  <c:v>Government</c:v>
                </c:pt>
                <c:pt idx="3">
                  <c:v>Consumer</c:v>
                </c:pt>
                <c:pt idx="4">
                  <c:v>Campaign</c:v>
                </c:pt>
              </c:strCache>
            </c:strRef>
          </c:cat>
          <c:val>
            <c:numRef>
              <c:f>Sheet1!$B$2:$B$6</c:f>
              <c:numCache>
                <c:formatCode>General</c:formatCode>
                <c:ptCount val="5"/>
                <c:pt idx="0">
                  <c:v>1</c:v>
                </c:pt>
                <c:pt idx="1">
                  <c:v>3</c:v>
                </c:pt>
                <c:pt idx="2">
                  <c:v>0</c:v>
                </c:pt>
                <c:pt idx="3">
                  <c:v>1</c:v>
                </c:pt>
                <c:pt idx="4">
                  <c:v>0</c:v>
                </c:pt>
              </c:numCache>
            </c:numRef>
          </c:val>
        </c:ser>
        <c:ser>
          <c:idx val="1"/>
          <c:order val="1"/>
          <c:tx>
            <c:strRef>
              <c:f>Sheet1!$C$1</c:f>
              <c:strCache>
                <c:ptCount val="1"/>
                <c:pt idx="0">
                  <c:v>Does not support Recommendation 17</c:v>
                </c:pt>
              </c:strCache>
            </c:strRef>
          </c:tx>
          <c:spPr>
            <a:solidFill>
              <a:schemeClr val="accent2">
                <a:lumMod val="75000"/>
                <a:alpha val="30000"/>
              </a:schemeClr>
            </a:solidFill>
            <a:ln>
              <a:solidFill>
                <a:schemeClr val="accent2">
                  <a:lumMod val="75000"/>
                </a:schemeClr>
              </a:solidFill>
            </a:ln>
          </c:spPr>
          <c:invertIfNegative val="0"/>
          <c:cat>
            <c:strRef>
              <c:f>Sheet1!$A$2:$A$6</c:f>
              <c:strCache>
                <c:ptCount val="5"/>
                <c:pt idx="0">
                  <c:v>Public Health</c:v>
                </c:pt>
                <c:pt idx="1">
                  <c:v>Food industry</c:v>
                </c:pt>
                <c:pt idx="2">
                  <c:v>Government</c:v>
                </c:pt>
                <c:pt idx="3">
                  <c:v>Consumer</c:v>
                </c:pt>
                <c:pt idx="4">
                  <c:v>Campaign</c:v>
                </c:pt>
              </c:strCache>
            </c:strRef>
          </c:cat>
          <c:val>
            <c:numRef>
              <c:f>Sheet1!$C$2:$C$6</c:f>
              <c:numCache>
                <c:formatCode>General</c:formatCode>
                <c:ptCount val="5"/>
                <c:pt idx="0">
                  <c:v>20</c:v>
                </c:pt>
                <c:pt idx="1">
                  <c:v>15</c:v>
                </c:pt>
                <c:pt idx="2">
                  <c:v>7</c:v>
                </c:pt>
                <c:pt idx="3">
                  <c:v>6</c:v>
                </c:pt>
                <c:pt idx="4">
                  <c:v>19</c:v>
                </c:pt>
              </c:numCache>
            </c:numRef>
          </c:val>
        </c:ser>
        <c:ser>
          <c:idx val="2"/>
          <c:order val="2"/>
          <c:tx>
            <c:strRef>
              <c:f>Sheet1!$D$1</c:f>
              <c:strCache>
                <c:ptCount val="1"/>
                <c:pt idx="0">
                  <c:v>Other views</c:v>
                </c:pt>
              </c:strCache>
            </c:strRef>
          </c:tx>
          <c:spPr>
            <a:pattFill prst="ltDnDiag">
              <a:fgClr>
                <a:schemeClr val="tx1"/>
              </a:fgClr>
              <a:bgClr>
                <a:schemeClr val="bg1"/>
              </a:bgClr>
            </a:pattFill>
            <a:ln w="19050" cmpd="dbl">
              <a:solidFill>
                <a:schemeClr val="dk1">
                  <a:alpha val="51000"/>
                </a:schemeClr>
              </a:solidFill>
            </a:ln>
          </c:spPr>
          <c:invertIfNegative val="0"/>
          <c:cat>
            <c:strRef>
              <c:f>Sheet1!$A$2:$A$6</c:f>
              <c:strCache>
                <c:ptCount val="5"/>
                <c:pt idx="0">
                  <c:v>Public Health</c:v>
                </c:pt>
                <c:pt idx="1">
                  <c:v>Food industry</c:v>
                </c:pt>
                <c:pt idx="2">
                  <c:v>Government</c:v>
                </c:pt>
                <c:pt idx="3">
                  <c:v>Consumer</c:v>
                </c:pt>
                <c:pt idx="4">
                  <c:v>Campaign</c:v>
                </c:pt>
              </c:strCache>
            </c:strRef>
          </c:cat>
          <c:val>
            <c:numRef>
              <c:f>Sheet1!$D$2:$D$6</c:f>
              <c:numCache>
                <c:formatCode>General</c:formatCode>
                <c:ptCount val="5"/>
                <c:pt idx="0">
                  <c:v>1</c:v>
                </c:pt>
                <c:pt idx="1">
                  <c:v>5</c:v>
                </c:pt>
                <c:pt idx="2">
                  <c:v>0</c:v>
                </c:pt>
                <c:pt idx="3">
                  <c:v>0</c:v>
                </c:pt>
                <c:pt idx="4">
                  <c:v>0</c:v>
                </c:pt>
              </c:numCache>
            </c:numRef>
          </c:val>
        </c:ser>
        <c:dLbls>
          <c:showLegendKey val="0"/>
          <c:showVal val="0"/>
          <c:showCatName val="0"/>
          <c:showSerName val="0"/>
          <c:showPercent val="0"/>
          <c:showBubbleSize val="0"/>
        </c:dLbls>
        <c:gapWidth val="150"/>
        <c:axId val="39050624"/>
        <c:axId val="55211520"/>
      </c:barChart>
      <c:catAx>
        <c:axId val="39050624"/>
        <c:scaling>
          <c:orientation val="minMax"/>
        </c:scaling>
        <c:delete val="0"/>
        <c:axPos val="b"/>
        <c:title>
          <c:tx>
            <c:rich>
              <a:bodyPr/>
              <a:lstStyle/>
              <a:p>
                <a:pPr>
                  <a:defRPr/>
                </a:pPr>
                <a:r>
                  <a:rPr lang="en-US"/>
                  <a:t>Stakeholder Group</a:t>
                </a:r>
              </a:p>
            </c:rich>
          </c:tx>
          <c:overlay val="0"/>
        </c:title>
        <c:majorTickMark val="out"/>
        <c:minorTickMark val="none"/>
        <c:tickLblPos val="nextTo"/>
        <c:crossAx val="55211520"/>
        <c:crosses val="autoZero"/>
        <c:auto val="1"/>
        <c:lblAlgn val="ctr"/>
        <c:lblOffset val="100"/>
        <c:noMultiLvlLbl val="0"/>
      </c:catAx>
      <c:valAx>
        <c:axId val="55211520"/>
        <c:scaling>
          <c:orientation val="minMax"/>
        </c:scaling>
        <c:delete val="0"/>
        <c:axPos val="l"/>
        <c:title>
          <c:tx>
            <c:rich>
              <a:bodyPr rot="-5400000" vert="horz"/>
              <a:lstStyle/>
              <a:p>
                <a:pPr>
                  <a:defRPr/>
                </a:pPr>
                <a:r>
                  <a:rPr lang="en-US"/>
                  <a:t>Number of submitters</a:t>
                </a:r>
              </a:p>
            </c:rich>
          </c:tx>
          <c:overlay val="0"/>
        </c:title>
        <c:numFmt formatCode="General" sourceLinked="1"/>
        <c:majorTickMark val="out"/>
        <c:minorTickMark val="none"/>
        <c:tickLblPos val="nextTo"/>
        <c:crossAx val="39050624"/>
        <c:crosses val="autoZero"/>
        <c:crossBetween val="between"/>
      </c:valAx>
    </c:plotArea>
    <c:legend>
      <c:legendPos val="r"/>
      <c:layout>
        <c:manualLayout>
          <c:xMode val="edge"/>
          <c:yMode val="edge"/>
          <c:x val="0.68131999125109366"/>
          <c:y val="0.29514472149314669"/>
          <c:w val="0.2825688976377953"/>
          <c:h val="0.51101560221638964"/>
        </c:manualLayout>
      </c:layout>
      <c:overlay val="0"/>
      <c:spPr>
        <a:solidFill>
          <a:schemeClr val="lt1"/>
        </a:solidFill>
        <a:ln w="25400" cap="flat" cmpd="sng" algn="ctr">
          <a:solidFill>
            <a:schemeClr val="dk1"/>
          </a:solidFill>
          <a:prstDash val="solid"/>
        </a:ln>
        <a:effectLst/>
      </c:spPr>
      <c:txPr>
        <a:bodyPr/>
        <a:lstStyle/>
        <a:p>
          <a:pPr>
            <a:defRPr sz="900">
              <a:solidFill>
                <a:schemeClr val="dk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ln>
      <a:solidFill>
        <a:schemeClr val="tx1"/>
      </a:solid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F6A58C2449E22249B0CAB58C3EEBD91F" ma:contentTypeVersion="37" ma:contentTypeDescription="FSANZ Record" ma:contentTypeScope="" ma:versionID="f20bbb4e0c0b66b332ac8a175930cde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33FB-7538-4179-BD83-A82A048B021B}"/>
</file>

<file path=customXml/itemProps2.xml><?xml version="1.0" encoding="utf-8"?>
<ds:datastoreItem xmlns:ds="http://schemas.openxmlformats.org/officeDocument/2006/customXml" ds:itemID="{D864DBD4-8076-4503-AF58-7538F2DE0A44}"/>
</file>

<file path=customXml/itemProps3.xml><?xml version="1.0" encoding="utf-8"?>
<ds:datastoreItem xmlns:ds="http://schemas.openxmlformats.org/officeDocument/2006/customXml" ds:itemID="{A6F233FB-7538-4179-BD83-A82A048B021B}">
  <ds:schemaRefs>
    <ds:schemaRef ds:uri="http://schemas.microsoft.com/sharepoint/v3/contenttype/forms"/>
  </ds:schemaRefs>
</ds:datastoreItem>
</file>

<file path=customXml/itemProps4.xml><?xml version="1.0" encoding="utf-8"?>
<ds:datastoreItem xmlns:ds="http://schemas.openxmlformats.org/officeDocument/2006/customXml" ds:itemID="{9227B4D7-87DF-4B32-8904-F1785CFC0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EB418C-2526-4E81-A7BB-1A006A499E0B}">
  <ds:schemaRefs>
    <ds:schemaRef ds:uri="Microsoft.SharePoint.Taxonomy.ContentTypeSync"/>
  </ds:schemaRefs>
</ds:datastoreItem>
</file>

<file path=customXml/itemProps6.xml><?xml version="1.0" encoding="utf-8"?>
<ds:datastoreItem xmlns:ds="http://schemas.openxmlformats.org/officeDocument/2006/customXml" ds:itemID="{57D677E6-E623-402E-BE19-FAEBB816D272}"/>
</file>

<file path=customXml/itemProps7.xml><?xml version="1.0" encoding="utf-8"?>
<ds:datastoreItem xmlns:ds="http://schemas.openxmlformats.org/officeDocument/2006/customXml" ds:itemID="{C3E4D77B-0265-4B08-A79B-50B3D0FE62AC}"/>
</file>

<file path=docProps/app.xml><?xml version="1.0" encoding="utf-8"?>
<Properties xmlns="http://schemas.openxmlformats.org/officeDocument/2006/extended-properties" xmlns:vt="http://schemas.openxmlformats.org/officeDocument/2006/docPropsVTypes">
  <Template>Normal</Template>
  <TotalTime>0</TotalTime>
  <Pages>27</Pages>
  <Words>10764</Words>
  <Characters>61358</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71979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Castles, Derek</dc:creator>
  <cp:lastModifiedBy>barlol</cp:lastModifiedBy>
  <cp:revision>2</cp:revision>
  <cp:lastPrinted>2015-05-19T00:46:00Z</cp:lastPrinted>
  <dcterms:created xsi:type="dcterms:W3CDTF">2015-12-09T02:32:00Z</dcterms:created>
  <dcterms:modified xsi:type="dcterms:W3CDTF">2015-12-09T02:32:00Z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_dlc_DocIdItemGuid">
    <vt:lpwstr>da699973-537b-4716-b6f6-31a828ae4997</vt:lpwstr>
  </property>
  <property fmtid="{D5CDD505-2E9C-101B-9397-08002B2CF9AE}" pid="4" name="BCS_">
    <vt:lpwstr>35;#Evaluation|43bd8487-b9f6-4055-946c-a118d364275d</vt:lpwstr>
  </property>
  <property fmtid="{D5CDD505-2E9C-101B-9397-08002B2CF9AE}" pid="5" name="DisposalClass">
    <vt:lpwstr/>
  </property>
  <property fmtid="{D5CDD505-2E9C-101B-9397-08002B2CF9AE}" pid="6" name="a41428b017d04df981d58ffdf035d7b8">
    <vt:lpwstr/>
  </property>
</Properties>
</file>